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2F" w:rsidRPr="007F1A2F" w:rsidRDefault="007F1A2F" w:rsidP="007F1A2F">
      <w:pPr>
        <w:widowControl w:val="0"/>
        <w:suppressAutoHyphens/>
        <w:jc w:val="center"/>
        <w:rPr>
          <w:rFonts w:eastAsia="SimSun"/>
          <w:kern w:val="1"/>
          <w:sz w:val="8"/>
          <w:lang w:eastAsia="hi-IN" w:bidi="hi-IN"/>
        </w:rPr>
      </w:pPr>
      <w:r w:rsidRPr="007F1A2F">
        <w:rPr>
          <w:rFonts w:eastAsia="SimSun" w:cs="Mangal"/>
          <w:noProof/>
          <w:kern w:val="1"/>
        </w:rPr>
        <w:drawing>
          <wp:inline distT="0" distB="0" distL="0" distR="0" wp14:anchorId="62E5DA79" wp14:editId="26FB367D">
            <wp:extent cx="542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rsidR="007F1A2F" w:rsidRPr="007F1A2F" w:rsidRDefault="007F1A2F" w:rsidP="007F1A2F">
      <w:pPr>
        <w:widowControl w:val="0"/>
        <w:pBdr>
          <w:bottom w:val="double" w:sz="1" w:space="1" w:color="000000"/>
        </w:pBdr>
        <w:suppressAutoHyphens/>
        <w:jc w:val="center"/>
        <w:rPr>
          <w:rFonts w:eastAsia="SimSun"/>
          <w:kern w:val="1"/>
          <w:sz w:val="8"/>
          <w:lang w:eastAsia="hi-IN" w:bidi="hi-IN"/>
        </w:rPr>
      </w:pPr>
    </w:p>
    <w:p w:rsidR="007F1A2F" w:rsidRPr="007F1A2F" w:rsidRDefault="007F1A2F" w:rsidP="007F1A2F">
      <w:pPr>
        <w:widowControl w:val="0"/>
        <w:pBdr>
          <w:bottom w:val="double" w:sz="1" w:space="1" w:color="000000"/>
        </w:pBdr>
        <w:suppressAutoHyphens/>
        <w:jc w:val="center"/>
        <w:rPr>
          <w:rFonts w:eastAsia="SimSun"/>
          <w:b/>
          <w:kern w:val="1"/>
          <w:sz w:val="36"/>
          <w:szCs w:val="36"/>
          <w:lang w:eastAsia="hi-IN" w:bidi="hi-IN"/>
        </w:rPr>
      </w:pPr>
      <w:r w:rsidRPr="007F1A2F">
        <w:rPr>
          <w:rFonts w:eastAsia="SimSun"/>
          <w:b/>
          <w:kern w:val="1"/>
          <w:sz w:val="32"/>
          <w:szCs w:val="32"/>
          <w:lang w:eastAsia="hi-IN" w:bidi="hi-IN"/>
        </w:rPr>
        <w:t>LATVIJAS  REPUBLIKA</w:t>
      </w:r>
    </w:p>
    <w:p w:rsidR="007F1A2F" w:rsidRPr="007F1A2F" w:rsidRDefault="007F1A2F" w:rsidP="007F1A2F">
      <w:pPr>
        <w:widowControl w:val="0"/>
        <w:pBdr>
          <w:bottom w:val="double" w:sz="1" w:space="1" w:color="000000"/>
        </w:pBdr>
        <w:suppressAutoHyphens/>
        <w:jc w:val="center"/>
        <w:rPr>
          <w:rFonts w:eastAsia="SimSun"/>
          <w:b/>
          <w:kern w:val="1"/>
          <w:sz w:val="36"/>
          <w:szCs w:val="36"/>
          <w:lang w:eastAsia="hi-IN" w:bidi="hi-IN"/>
        </w:rPr>
      </w:pPr>
      <w:r w:rsidRPr="007F1A2F">
        <w:rPr>
          <w:rFonts w:eastAsia="SimSun"/>
          <w:b/>
          <w:kern w:val="1"/>
          <w:sz w:val="36"/>
          <w:szCs w:val="36"/>
          <w:lang w:eastAsia="hi-IN" w:bidi="hi-IN"/>
        </w:rPr>
        <w:t>SKRĪVERU  NOVADA  DOME</w:t>
      </w:r>
    </w:p>
    <w:p w:rsidR="007F1A2F" w:rsidRPr="007F1A2F" w:rsidRDefault="007F1A2F" w:rsidP="007F1A2F">
      <w:pPr>
        <w:widowControl w:val="0"/>
        <w:pBdr>
          <w:bottom w:val="double" w:sz="1" w:space="1" w:color="000000"/>
        </w:pBdr>
        <w:suppressAutoHyphens/>
        <w:jc w:val="center"/>
        <w:rPr>
          <w:rFonts w:eastAsia="SimSun"/>
          <w:kern w:val="1"/>
          <w:sz w:val="22"/>
          <w:szCs w:val="22"/>
          <w:lang w:eastAsia="hi-IN" w:bidi="hi-IN"/>
        </w:rPr>
      </w:pPr>
      <w:r w:rsidRPr="007F1A2F">
        <w:rPr>
          <w:rFonts w:eastAsia="SimSun"/>
          <w:kern w:val="1"/>
          <w:sz w:val="22"/>
          <w:szCs w:val="22"/>
          <w:lang w:eastAsia="hi-IN" w:bidi="hi-IN"/>
        </w:rPr>
        <w:t>Reģistrācijas Nr.90000074704, Daugavas iela 59, Skrīveri, Skrīveru novads, LV-5125,</w:t>
      </w:r>
      <w:r w:rsidRPr="007F1A2F">
        <w:rPr>
          <w:rFonts w:eastAsia="SimSun"/>
          <w:kern w:val="1"/>
          <w:sz w:val="22"/>
          <w:szCs w:val="22"/>
          <w:lang w:eastAsia="hi-IN" w:bidi="hi-IN"/>
        </w:rPr>
        <w:br/>
        <w:t>tālrunis 65197675, fakss 65197747, e-pasts: dome@skriveri.lv</w:t>
      </w:r>
    </w:p>
    <w:p w:rsidR="007F1A2F" w:rsidRPr="007F1A2F" w:rsidRDefault="007F1A2F" w:rsidP="007F1A2F">
      <w:pPr>
        <w:widowControl w:val="0"/>
        <w:tabs>
          <w:tab w:val="left" w:pos="567"/>
          <w:tab w:val="left" w:pos="3402"/>
        </w:tabs>
        <w:suppressAutoHyphens/>
        <w:jc w:val="center"/>
        <w:rPr>
          <w:rFonts w:eastAsia="SimSun"/>
          <w:kern w:val="1"/>
          <w:sz w:val="16"/>
          <w:szCs w:val="16"/>
          <w:lang w:eastAsia="hi-IN" w:bidi="hi-IN"/>
        </w:rPr>
      </w:pPr>
    </w:p>
    <w:p w:rsidR="007F1A2F" w:rsidRPr="007F1A2F" w:rsidRDefault="007F1A2F" w:rsidP="007F1A2F">
      <w:pPr>
        <w:widowControl w:val="0"/>
        <w:tabs>
          <w:tab w:val="left" w:pos="567"/>
          <w:tab w:val="left" w:pos="3402"/>
        </w:tabs>
        <w:suppressAutoHyphens/>
        <w:jc w:val="center"/>
        <w:rPr>
          <w:rFonts w:eastAsia="SimSun"/>
          <w:kern w:val="1"/>
          <w:sz w:val="4"/>
          <w:szCs w:val="4"/>
          <w:lang w:eastAsia="hi-IN" w:bidi="hi-IN"/>
        </w:rPr>
      </w:pPr>
    </w:p>
    <w:p w:rsidR="007F1A2F" w:rsidRPr="007F1A2F" w:rsidRDefault="007F1A2F" w:rsidP="007F1A2F">
      <w:pPr>
        <w:keepNext/>
        <w:widowControl w:val="0"/>
        <w:numPr>
          <w:ilvl w:val="1"/>
          <w:numId w:val="0"/>
        </w:numPr>
        <w:tabs>
          <w:tab w:val="num" w:pos="576"/>
        </w:tabs>
        <w:suppressAutoHyphens/>
        <w:ind w:left="576" w:hanging="576"/>
        <w:jc w:val="center"/>
        <w:outlineLvl w:val="1"/>
        <w:rPr>
          <w:rFonts w:eastAsia="SimSun" w:cs="Mangal"/>
          <w:b/>
          <w:bCs/>
          <w:kern w:val="1"/>
          <w:lang w:eastAsia="hi-IN" w:bidi="hi-IN"/>
        </w:rPr>
      </w:pPr>
      <w:r w:rsidRPr="007F1A2F">
        <w:rPr>
          <w:rFonts w:eastAsia="SimSun" w:cs="Mangal"/>
          <w:b/>
          <w:bCs/>
          <w:kern w:val="1"/>
          <w:sz w:val="28"/>
          <w:szCs w:val="28"/>
          <w:lang w:eastAsia="hi-IN" w:bidi="hi-IN"/>
        </w:rPr>
        <w:t>SAISTOŠIE  NOTEIKUMI</w:t>
      </w:r>
    </w:p>
    <w:p w:rsidR="007F1A2F" w:rsidRPr="007F1A2F" w:rsidRDefault="007F1A2F" w:rsidP="007F1A2F">
      <w:pPr>
        <w:widowControl w:val="0"/>
        <w:suppressAutoHyphens/>
        <w:jc w:val="center"/>
        <w:rPr>
          <w:rFonts w:eastAsia="SimSun" w:cs="Mangal"/>
          <w:kern w:val="1"/>
          <w:lang w:eastAsia="hi-IN" w:bidi="hi-IN"/>
        </w:rPr>
      </w:pPr>
      <w:r w:rsidRPr="007F1A2F">
        <w:rPr>
          <w:rFonts w:eastAsia="SimSun" w:cs="Mangal"/>
          <w:kern w:val="1"/>
          <w:lang w:eastAsia="hi-IN" w:bidi="hi-IN"/>
        </w:rPr>
        <w:t>Skrīveru novadā</w:t>
      </w:r>
    </w:p>
    <w:p w:rsidR="007F1A2F" w:rsidRPr="007F1A2F" w:rsidRDefault="007F1A2F" w:rsidP="007F1A2F">
      <w:pPr>
        <w:widowControl w:val="0"/>
        <w:tabs>
          <w:tab w:val="left" w:pos="3969"/>
        </w:tabs>
        <w:suppressAutoHyphens/>
        <w:jc w:val="both"/>
        <w:rPr>
          <w:rFonts w:eastAsia="SimSun" w:cs="Mangal"/>
          <w:kern w:val="1"/>
          <w:lang w:eastAsia="hi-IN" w:bidi="hi-IN"/>
        </w:rPr>
      </w:pPr>
    </w:p>
    <w:p w:rsidR="00331E39" w:rsidRPr="00331E39" w:rsidRDefault="00331E39" w:rsidP="00331E39">
      <w:pPr>
        <w:tabs>
          <w:tab w:val="left" w:pos="4500"/>
        </w:tabs>
        <w:jc w:val="both"/>
      </w:pPr>
      <w:r w:rsidRPr="00331E39">
        <w:t>201</w:t>
      </w:r>
      <w:r w:rsidR="00C90C81">
        <w:t>5</w:t>
      </w:r>
      <w:r w:rsidRPr="00331E39">
        <w:t>.gada 2</w:t>
      </w:r>
      <w:r w:rsidR="00C90C81">
        <w:t>6</w:t>
      </w:r>
      <w:r w:rsidRPr="00331E39">
        <w:t>.</w:t>
      </w:r>
      <w:r w:rsidR="00C90C81">
        <w:t>novembrī</w:t>
      </w:r>
      <w:r w:rsidRPr="00331E39">
        <w:t xml:space="preserve"> </w:t>
      </w:r>
      <w:r w:rsidRPr="00331E39">
        <w:tab/>
      </w:r>
      <w:r w:rsidRPr="00331E39">
        <w:tab/>
      </w:r>
      <w:r w:rsidRPr="00331E39">
        <w:tab/>
      </w:r>
      <w:r w:rsidRPr="00331E39">
        <w:rPr>
          <w:b/>
        </w:rPr>
        <w:t xml:space="preserve">Nr. </w:t>
      </w:r>
      <w:r w:rsidR="00C90C81">
        <w:rPr>
          <w:b/>
        </w:rPr>
        <w:t>10</w:t>
      </w:r>
    </w:p>
    <w:p w:rsidR="00331E39" w:rsidRPr="00331E39" w:rsidRDefault="00331E39" w:rsidP="00331E39">
      <w:pPr>
        <w:tabs>
          <w:tab w:val="left" w:pos="4680"/>
        </w:tabs>
        <w:jc w:val="both"/>
      </w:pP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APSTIPRINĀTI</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ar Skrīveru novada domes</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20</w:t>
      </w:r>
      <w:r w:rsidRPr="00331E39">
        <w:rPr>
          <w:rFonts w:eastAsia="SimSun" w:cs="Mangal"/>
          <w:kern w:val="1"/>
          <w:lang w:eastAsia="hi-IN" w:bidi="hi-IN"/>
        </w:rPr>
        <w:t>1</w:t>
      </w:r>
      <w:r w:rsidR="00C90C81">
        <w:rPr>
          <w:rFonts w:eastAsia="SimSun" w:cs="Mangal"/>
          <w:kern w:val="1"/>
          <w:lang w:eastAsia="hi-IN" w:bidi="hi-IN"/>
        </w:rPr>
        <w:t>5</w:t>
      </w:r>
      <w:r w:rsidRPr="00331E39">
        <w:rPr>
          <w:rFonts w:eastAsia="SimSun" w:cs="Mangal"/>
          <w:kern w:val="1"/>
          <w:lang w:val="en-US" w:eastAsia="hi-IN" w:bidi="hi-IN"/>
        </w:rPr>
        <w:t xml:space="preserve">.gada </w:t>
      </w:r>
      <w:r w:rsidRPr="00331E39">
        <w:rPr>
          <w:rFonts w:eastAsia="SimSun" w:cs="Mangal"/>
          <w:kern w:val="1"/>
          <w:lang w:eastAsia="hi-IN" w:bidi="hi-IN"/>
        </w:rPr>
        <w:t>2</w:t>
      </w:r>
      <w:r w:rsidR="00C90C81">
        <w:rPr>
          <w:rFonts w:eastAsia="SimSun" w:cs="Mangal"/>
          <w:kern w:val="1"/>
          <w:lang w:eastAsia="hi-IN" w:bidi="hi-IN"/>
        </w:rPr>
        <w:t>6</w:t>
      </w:r>
      <w:r w:rsidRPr="00331E39">
        <w:rPr>
          <w:rFonts w:eastAsia="SimSun" w:cs="Mangal"/>
          <w:kern w:val="1"/>
          <w:lang w:eastAsia="hi-IN" w:bidi="hi-IN"/>
        </w:rPr>
        <w:t>.</w:t>
      </w:r>
      <w:r w:rsidR="00C90C81">
        <w:rPr>
          <w:rFonts w:eastAsia="SimSun" w:cs="Mangal"/>
          <w:kern w:val="1"/>
          <w:lang w:eastAsia="hi-IN" w:bidi="hi-IN"/>
        </w:rPr>
        <w:t>novembra</w:t>
      </w:r>
      <w:r w:rsidRPr="00331E39">
        <w:rPr>
          <w:rFonts w:eastAsia="SimSun" w:cs="Mangal"/>
          <w:kern w:val="1"/>
          <w:lang w:val="en-US" w:eastAsia="hi-IN" w:bidi="hi-IN"/>
        </w:rPr>
        <w:t xml:space="preserve"> sēdes</w:t>
      </w:r>
    </w:p>
    <w:p w:rsidR="00331E39" w:rsidRPr="00331E39" w:rsidRDefault="00331E39" w:rsidP="00331E39">
      <w:pPr>
        <w:widowControl w:val="0"/>
        <w:tabs>
          <w:tab w:val="center" w:pos="4818"/>
        </w:tabs>
        <w:suppressAutoHyphens/>
        <w:ind w:left="5760" w:right="-360"/>
        <w:rPr>
          <w:rFonts w:eastAsia="SimSun" w:cs="Mangal"/>
          <w:kern w:val="1"/>
          <w:lang w:val="en-US" w:eastAsia="hi-IN" w:bidi="hi-IN"/>
        </w:rPr>
      </w:pPr>
      <w:r w:rsidRPr="00331E39">
        <w:rPr>
          <w:rFonts w:eastAsia="SimSun" w:cs="Mangal"/>
          <w:kern w:val="1"/>
          <w:lang w:val="en-US" w:eastAsia="hi-IN" w:bidi="hi-IN"/>
        </w:rPr>
        <w:t>lēmumu Nr</w:t>
      </w:r>
      <w:r w:rsidRPr="00331E39">
        <w:rPr>
          <w:rFonts w:eastAsia="SimSun" w:cs="Mangal"/>
          <w:kern w:val="1"/>
          <w:lang w:eastAsia="hi-IN" w:bidi="hi-IN"/>
        </w:rPr>
        <w:t>.</w:t>
      </w:r>
      <w:r w:rsidR="00C90C81">
        <w:rPr>
          <w:rFonts w:eastAsia="SimSun" w:cs="Mangal"/>
          <w:kern w:val="1"/>
          <w:lang w:eastAsia="hi-IN" w:bidi="hi-IN"/>
        </w:rPr>
        <w:t>1</w:t>
      </w:r>
      <w:r w:rsidRPr="00331E39">
        <w:rPr>
          <w:rFonts w:eastAsia="SimSun" w:cs="Mangal"/>
          <w:kern w:val="1"/>
          <w:lang w:val="en-US" w:eastAsia="hi-IN" w:bidi="hi-IN"/>
        </w:rPr>
        <w:t xml:space="preserve"> (prot.Nr.</w:t>
      </w:r>
      <w:r w:rsidR="00C90C81">
        <w:rPr>
          <w:rFonts w:eastAsia="SimSun" w:cs="Mangal"/>
          <w:kern w:val="1"/>
          <w:lang w:val="en-US" w:eastAsia="hi-IN" w:bidi="hi-IN"/>
        </w:rPr>
        <w:t>18</w:t>
      </w:r>
      <w:r w:rsidRPr="00331E39">
        <w:rPr>
          <w:rFonts w:eastAsia="SimSun" w:cs="Mangal"/>
          <w:kern w:val="1"/>
          <w:lang w:val="en-US" w:eastAsia="hi-IN" w:bidi="hi-IN"/>
        </w:rPr>
        <w:t>)</w:t>
      </w:r>
    </w:p>
    <w:p w:rsidR="007F1A2F" w:rsidRPr="00331E39" w:rsidRDefault="007F1A2F" w:rsidP="007F1A2F">
      <w:pPr>
        <w:tabs>
          <w:tab w:val="center" w:pos="4818"/>
        </w:tabs>
        <w:ind w:left="5760" w:right="-360"/>
        <w:rPr>
          <w:lang w:val="en-US"/>
        </w:rPr>
      </w:pPr>
    </w:p>
    <w:p w:rsidR="007F1A2F" w:rsidRPr="007F1A2F" w:rsidRDefault="007F1A2F" w:rsidP="007F1A2F">
      <w:pPr>
        <w:tabs>
          <w:tab w:val="left" w:pos="3969"/>
        </w:tabs>
        <w:jc w:val="both"/>
      </w:pPr>
    </w:p>
    <w:p w:rsidR="00C90C81" w:rsidRPr="00C90C81" w:rsidRDefault="00C90C81" w:rsidP="00C90C81">
      <w:pPr>
        <w:jc w:val="center"/>
        <w:rPr>
          <w:rFonts w:ascii="Book Antiqua" w:hAnsi="Book Antiqua"/>
          <w:sz w:val="20"/>
          <w:szCs w:val="20"/>
        </w:rPr>
      </w:pPr>
    </w:p>
    <w:p w:rsidR="00C90C81" w:rsidRPr="00C90C81" w:rsidRDefault="00C90C81" w:rsidP="00C90C81">
      <w:pPr>
        <w:pStyle w:val="Default"/>
        <w:jc w:val="center"/>
        <w:rPr>
          <w:b/>
          <w:color w:val="auto"/>
          <w:sz w:val="36"/>
          <w:szCs w:val="36"/>
          <w:lang w:eastAsia="lv-LV" w:bidi="ar-SA"/>
        </w:rPr>
      </w:pPr>
      <w:bookmarkStart w:id="0" w:name="_GoBack"/>
      <w:r w:rsidRPr="00C90C81">
        <w:rPr>
          <w:b/>
          <w:color w:val="auto"/>
          <w:sz w:val="36"/>
          <w:szCs w:val="36"/>
          <w:lang w:eastAsia="lv-LV" w:bidi="ar-SA"/>
        </w:rPr>
        <w:t>Lokālplānojuma zemes gabala daļai nekustamā īpašumā "BUNDZE 1" Skrīveru novadā, teritorijas izmantošanas un apbūves noteikumi un grafiskā daļa</w:t>
      </w:r>
    </w:p>
    <w:bookmarkEnd w:id="0"/>
    <w:p w:rsidR="00C90C81" w:rsidRDefault="00C90C81" w:rsidP="00C90C81">
      <w:pPr>
        <w:jc w:val="center"/>
        <w:rPr>
          <w:rFonts w:ascii="Verdana" w:hAnsi="Verdana"/>
          <w:sz w:val="28"/>
          <w:szCs w:val="28"/>
        </w:rPr>
      </w:pPr>
    </w:p>
    <w:p w:rsidR="009204CA" w:rsidRPr="009204CA" w:rsidRDefault="00C90C81" w:rsidP="00C90C81">
      <w:pPr>
        <w:ind w:left="4962"/>
        <w:jc w:val="both"/>
      </w:pPr>
      <w:r w:rsidRPr="009204CA">
        <w:t xml:space="preserve">Izdoti saskaņā ar </w:t>
      </w:r>
      <w:r w:rsidR="009204CA" w:rsidRPr="009204CA">
        <w:t>Teritorijas attīstības plānošanas likuma 25.panta pirmo daļu,</w:t>
      </w:r>
    </w:p>
    <w:p w:rsidR="009204CA" w:rsidRPr="009204CA" w:rsidRDefault="009204CA" w:rsidP="00C90C81">
      <w:pPr>
        <w:ind w:left="4962"/>
        <w:jc w:val="both"/>
      </w:pPr>
      <w:r w:rsidRPr="009204CA">
        <w:t>Ministru kabineta 2012.gada 16.oktobra noteikumu Nr.628 „Noteikumi par pašvaldību teritorijas attīstības plānošanas dokumentiem” 91.punktu</w:t>
      </w:r>
    </w:p>
    <w:p w:rsidR="00C90C81" w:rsidRDefault="00C90C81" w:rsidP="00C90C81">
      <w:pPr>
        <w:jc w:val="center"/>
        <w:rPr>
          <w:rFonts w:ascii="Verdana" w:hAnsi="Verdana"/>
          <w:sz w:val="28"/>
          <w:szCs w:val="28"/>
        </w:rPr>
      </w:pPr>
    </w:p>
    <w:p w:rsidR="00243F18" w:rsidRPr="00C90C81" w:rsidRDefault="00243F18" w:rsidP="00C90C81">
      <w:pPr>
        <w:jc w:val="center"/>
        <w:rPr>
          <w:rFonts w:ascii="Verdana" w:hAnsi="Verdana"/>
          <w:sz w:val="28"/>
          <w:szCs w:val="28"/>
        </w:rPr>
      </w:pPr>
    </w:p>
    <w:p w:rsidR="00C90C81" w:rsidRPr="00C90C81" w:rsidRDefault="00C90C81" w:rsidP="00C90C81">
      <w:pPr>
        <w:jc w:val="center"/>
        <w:rPr>
          <w:rFonts w:ascii="Verdana" w:hAnsi="Verdana"/>
          <w:b/>
          <w:caps/>
        </w:rPr>
      </w:pPr>
    </w:p>
    <w:p w:rsidR="009B428B" w:rsidRPr="009B428B" w:rsidRDefault="009B428B" w:rsidP="009B428B">
      <w:pPr>
        <w:rPr>
          <w:caps/>
        </w:rPr>
      </w:pPr>
      <w:r w:rsidRPr="009B428B">
        <w:rPr>
          <w:caps/>
        </w:rPr>
        <w:t xml:space="preserve">1. </w:t>
      </w:r>
      <w:r w:rsidRPr="009B428B">
        <w:rPr>
          <w:caps/>
        </w:rPr>
        <w:tab/>
        <w:t>teritorijas Izmantošanas un apbūves noteikumi</w:t>
      </w:r>
    </w:p>
    <w:p w:rsidR="009B428B" w:rsidRPr="009B428B" w:rsidRDefault="009B428B" w:rsidP="009B428B">
      <w:pPr>
        <w:jc w:val="both"/>
      </w:pPr>
    </w:p>
    <w:p w:rsidR="009B428B" w:rsidRPr="009B428B" w:rsidRDefault="009B428B" w:rsidP="009B428B">
      <w:pPr>
        <w:keepNext/>
        <w:jc w:val="both"/>
        <w:outlineLvl w:val="0"/>
        <w:rPr>
          <w:b/>
          <w:caps/>
          <w:kern w:val="28"/>
          <w:lang w:eastAsia="x-none"/>
        </w:rPr>
      </w:pPr>
    </w:p>
    <w:p w:rsidR="009B428B" w:rsidRPr="009B428B" w:rsidRDefault="009B428B" w:rsidP="009B428B">
      <w:r w:rsidRPr="009B428B">
        <w:t xml:space="preserve">2. </w:t>
      </w:r>
      <w:r w:rsidRPr="009B428B">
        <w:tab/>
        <w:t>GRAFISKĀ DAĻA</w:t>
      </w:r>
    </w:p>
    <w:p w:rsidR="009B428B" w:rsidRPr="009B428B" w:rsidRDefault="009B428B" w:rsidP="009B428B">
      <w:r w:rsidRPr="009B428B">
        <w:t>Grafiskās daļas rasējumu saraksts:</w:t>
      </w:r>
    </w:p>
    <w:p w:rsidR="009B428B" w:rsidRPr="009B428B" w:rsidRDefault="009B428B" w:rsidP="009B428B">
      <w:pPr>
        <w:ind w:firstLine="1080"/>
      </w:pPr>
      <w:r w:rsidRPr="009B428B">
        <w:t>1.</w:t>
      </w:r>
      <w:r w:rsidRPr="009B428B">
        <w:tab/>
        <w:t xml:space="preserve">Pašreizējās izmantošanas </w:t>
      </w:r>
      <w:smartTag w:uri="schemas-tilde-lv/tildestengine" w:element="veidnes">
        <w:smartTagPr>
          <w:attr w:name="id" w:val="-1"/>
          <w:attr w:name="baseform" w:val="plāns"/>
          <w:attr w:name="text" w:val="plāns&#10;"/>
        </w:smartTagPr>
        <w:r w:rsidRPr="009B428B">
          <w:t>plāns</w:t>
        </w:r>
      </w:smartTag>
    </w:p>
    <w:p w:rsidR="009B428B" w:rsidRPr="009B428B" w:rsidRDefault="009B428B" w:rsidP="009B428B">
      <w:pPr>
        <w:ind w:firstLine="1080"/>
      </w:pPr>
      <w:r w:rsidRPr="009B428B">
        <w:t>2.</w:t>
      </w:r>
      <w:r w:rsidRPr="009B428B">
        <w:tab/>
        <w:t>Funkcionālā zonējuma plāns</w:t>
      </w:r>
    </w:p>
    <w:p w:rsidR="009B428B" w:rsidRPr="009B428B" w:rsidRDefault="009B428B" w:rsidP="009B428B">
      <w:pPr>
        <w:jc w:val="center"/>
      </w:pPr>
    </w:p>
    <w:p w:rsidR="009B428B" w:rsidRPr="009B428B" w:rsidRDefault="009B428B" w:rsidP="009B428B">
      <w:pPr>
        <w:rPr>
          <w:sz w:val="20"/>
          <w:szCs w:val="20"/>
          <w:lang w:eastAsia="x-none"/>
        </w:rPr>
      </w:pPr>
    </w:p>
    <w:p w:rsidR="009B428B" w:rsidRPr="009B428B" w:rsidRDefault="009B428B" w:rsidP="009B428B">
      <w:pPr>
        <w:rPr>
          <w:sz w:val="20"/>
          <w:szCs w:val="20"/>
        </w:rPr>
      </w:pPr>
    </w:p>
    <w:p w:rsidR="009B428B" w:rsidRPr="009B428B" w:rsidRDefault="009B428B" w:rsidP="009B428B">
      <w:pPr>
        <w:rPr>
          <w:sz w:val="20"/>
          <w:szCs w:val="20"/>
        </w:rPr>
      </w:pPr>
    </w:p>
    <w:p w:rsidR="009B428B" w:rsidRPr="009B428B" w:rsidRDefault="009B428B" w:rsidP="009B428B">
      <w:pPr>
        <w:tabs>
          <w:tab w:val="left" w:pos="6495"/>
        </w:tabs>
        <w:rPr>
          <w:sz w:val="20"/>
          <w:szCs w:val="20"/>
        </w:rPr>
      </w:pPr>
      <w:r w:rsidRPr="009B428B">
        <w:rPr>
          <w:sz w:val="20"/>
          <w:szCs w:val="20"/>
        </w:rPr>
        <w:tab/>
      </w:r>
    </w:p>
    <w:p w:rsidR="009B428B" w:rsidRPr="009B428B" w:rsidRDefault="009B428B" w:rsidP="009B428B">
      <w:pPr>
        <w:rPr>
          <w:sz w:val="20"/>
          <w:szCs w:val="20"/>
        </w:rPr>
      </w:pPr>
      <w:r w:rsidRPr="009B428B">
        <w:rPr>
          <w:sz w:val="20"/>
          <w:szCs w:val="20"/>
        </w:rPr>
        <w:br w:type="page"/>
      </w:r>
    </w:p>
    <w:p w:rsidR="009B428B" w:rsidRPr="009B428B" w:rsidRDefault="009B428B" w:rsidP="009B428B">
      <w:pPr>
        <w:keepNext/>
        <w:jc w:val="center"/>
        <w:outlineLvl w:val="0"/>
        <w:rPr>
          <w:kern w:val="28"/>
          <w:szCs w:val="20"/>
          <w:lang w:val="x-none" w:eastAsia="x-none"/>
        </w:rPr>
      </w:pPr>
      <w:r w:rsidRPr="009B428B">
        <w:rPr>
          <w:b/>
          <w:caps/>
          <w:kern w:val="28"/>
          <w:sz w:val="28"/>
          <w:szCs w:val="28"/>
          <w:lang w:eastAsia="x-none"/>
        </w:rPr>
        <w:lastRenderedPageBreak/>
        <w:t>1.</w:t>
      </w:r>
      <w:r w:rsidRPr="009B428B">
        <w:rPr>
          <w:b/>
          <w:caps/>
          <w:kern w:val="28"/>
          <w:sz w:val="28"/>
          <w:szCs w:val="28"/>
          <w:lang w:val="x-none" w:eastAsia="x-none"/>
        </w:rPr>
        <w:t>teritorijas Izmantošanas un apbūves noteikumi</w:t>
      </w:r>
      <w:r w:rsidRPr="009B428B">
        <w:rPr>
          <w:kern w:val="28"/>
          <w:szCs w:val="20"/>
          <w:lang w:val="x-none" w:eastAsia="x-none"/>
        </w:rPr>
        <w:t xml:space="preserve"> </w:t>
      </w:r>
    </w:p>
    <w:p w:rsidR="009B428B" w:rsidRPr="009B428B" w:rsidRDefault="009B428B" w:rsidP="009B428B">
      <w:pPr>
        <w:rPr>
          <w:sz w:val="22"/>
          <w:szCs w:val="22"/>
        </w:rPr>
      </w:pP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Lokālplānojuma grafisko daļu izstrādāta Latvijas 1992. gada ģeodēziskajā koordinātu sistēmā LKS-92 TM uz augstas lokalizācijas topogrāfiskās informācijas plāna pamatnes ar mēroga noteiktību 1:10000 un darba uzdevuma 2.4. punktam.</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Skrīveru novada pašvaldības 26.11.2015. saistošie noteikumi Nr.10 „Skrīveru novada   īpašuma „BUNDZE 1”  lokālplānojuma grafiskā daļa, teritorijas izmantošanas un apbūves noteikumi” (turpmāk Saistošie noteikumi) sagatavoti atbilstoši 2013. gada 30. aprīļa Ministru kabineta noteikumiem Nr. 240 „Vispārīgie teritorijas plānošanas, izmantošanas un apbūves noteikumi” prasībām.</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Nekustamā īpašuma "BUNDZE 1" teritorijā spēkā Skrīveru novada pašvaldības 20.08.2009. Saistošo noteikumi nr. 2 "Skrīveru novada teritorijas plānojuma 2006-2018. gadam grafiskā daļa, teritorijas izmantošanas un apbūves noteikumi" saistošās daļas noteikumi, ciktāl tie nav pretrunā ar šiem Saistošajiem noteikumiem.</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 xml:space="preserve"> Pēc šo Saistošo noteikumu apstiprināšanas, spēkā lokālplānojuma Saistošās daļas noteikumi nekustamā īpašuma "BUNDZE 1" teritorijā.</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 xml:space="preserve">Visai lokālplānojuma teritorijai ievērojami Skrīveru novada pašvaldības 20.08.2009. saistošie noteikumi Nr. 2 „Skrīveru novada teritorijas plānojums 2006.-2018. gadiem grafiskā daļā, teritorijas izmantošanas un apbūves noteikumi” (izdoti ar lēmumu prot izr. Nr.4, </w:t>
      </w:r>
      <w:smartTag w:uri="schemas-tilde-lv/tildestengine" w:element="veidnes">
        <w:smartTagPr>
          <w:attr w:name="text" w:val="lēmums"/>
          <w:attr w:name="baseform" w:val="lēmums"/>
          <w:attr w:name="id" w:val="-1"/>
        </w:smartTagPr>
        <w:r w:rsidRPr="009B428B">
          <w:rPr>
            <w:sz w:val="22"/>
            <w:szCs w:val="22"/>
            <w:lang w:eastAsia="en-US"/>
          </w:rPr>
          <w:t>lēmums</w:t>
        </w:r>
      </w:smartTag>
      <w:r w:rsidRPr="009B428B">
        <w:rPr>
          <w:sz w:val="22"/>
          <w:szCs w:val="22"/>
          <w:lang w:eastAsia="en-US"/>
        </w:rPr>
        <w:t xml:space="preserve"> Nr.7), izņemot lokālplānojumā - šajos Saistošajos noteikumos grozītos, precizētos un detalizētos atsevišķo izmantošanu noteikumus un funkcionālo zonējuma grozījumus 12,56 platībā.</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 xml:space="preserve"> Lokālplānojumā teritorijā  0,5ha platībā no lokālplānojumā iekļautās teritorijas, ko aizņem aizsargājams augu sugas, netiek grozīta funkcionālā zona un paliek spēkā Skrīveru novada pašvaldības 20.08.2009. saistošie noteikumi Nr. 2 „Skrīveru novada teritorijas plānojums 2006.-2018. gadiem grafiskā daļā, teritorijas izmantošanas un apbūves noteikumi” (izdoti ar lēmumu prot izr. Nr.4, </w:t>
      </w:r>
      <w:smartTag w:uri="schemas-tilde-lv/tildestengine" w:element="veidnes">
        <w:smartTagPr>
          <w:attr w:name="text" w:val="lēmums"/>
          <w:attr w:name="baseform" w:val="lēmums"/>
          <w:attr w:name="id" w:val="-1"/>
        </w:smartTagPr>
        <w:r w:rsidRPr="009B428B">
          <w:rPr>
            <w:sz w:val="22"/>
            <w:szCs w:val="22"/>
            <w:lang w:eastAsia="en-US"/>
          </w:rPr>
          <w:t>lēmums</w:t>
        </w:r>
      </w:smartTag>
      <w:r w:rsidRPr="009B428B">
        <w:rPr>
          <w:sz w:val="22"/>
          <w:szCs w:val="22"/>
          <w:lang w:eastAsia="en-US"/>
        </w:rPr>
        <w:t xml:space="preserve"> Nr.7).</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Saistošo apbūves noteikumu prasības ir spēkā visu īpašuma izmantošanas un būvniecības laiku, neatkarīgi no īpašnieku maiņas.</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 xml:space="preserve">Šie Skrīveru novada  Saistošo noteikumu papildinājumi stājās spēkā 2016.gada 5.janvārī nākošā dienā pēc publikācijas LR oficiālajā izdevumā „Latvijas Vēstnesis” -2016.gada 4.janvārī. Paziņojums publicēts  Skrīveru novada pašvaldības vietnē </w:t>
      </w:r>
      <w:hyperlink r:id="rId9" w:history="1">
        <w:r w:rsidRPr="00243F18">
          <w:rPr>
            <w:color w:val="0000FF"/>
            <w:sz w:val="22"/>
            <w:szCs w:val="22"/>
            <w:u w:val="single"/>
            <w:lang w:eastAsia="en-US"/>
          </w:rPr>
          <w:t>www.skriveri.lv</w:t>
        </w:r>
      </w:hyperlink>
      <w:r w:rsidRPr="009B428B">
        <w:rPr>
          <w:sz w:val="22"/>
          <w:szCs w:val="22"/>
          <w:lang w:eastAsia="en-US"/>
        </w:rPr>
        <w:t xml:space="preserve"> tīmeklī.</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Ja tiesa kādu šī lokālplānojuma apbūves noteikumu punktu atzīst par spēkā neesošu,, pārējā šo noteikumu daļas saglabā spēku.</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Noteikumu grozīšanu var veikt, izstrādājot lokālplānojumu grozījumus.</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Teritorijas izmantošanas veida grupas nosaukums un grupas kods un teritorijas izmantoš</w:t>
      </w:r>
      <w:r w:rsidR="00243F18">
        <w:rPr>
          <w:sz w:val="22"/>
          <w:szCs w:val="22"/>
          <w:lang w:eastAsia="en-US"/>
        </w:rPr>
        <w:t>a</w:t>
      </w:r>
      <w:r w:rsidRPr="009B428B">
        <w:rPr>
          <w:sz w:val="22"/>
          <w:szCs w:val="22"/>
          <w:lang w:eastAsia="en-US"/>
        </w:rPr>
        <w:t>nas veidu nosaukumi un kodi doti saskaņā ar Ministru kabineta 2013.gada 30.aprīļa noteikumiem Nr.240 Vispārīgie teritorijas plānošanas, izmantošanas un apbūves noteikumi 3.pielikumam,Teritoriju izmantošanas veidu klasifikators.</w:t>
      </w:r>
    </w:p>
    <w:p w:rsidR="009B428B" w:rsidRPr="009B428B" w:rsidRDefault="009B428B" w:rsidP="009B428B">
      <w:pPr>
        <w:numPr>
          <w:ilvl w:val="0"/>
          <w:numId w:val="5"/>
        </w:numPr>
        <w:spacing w:before="120" w:after="120"/>
        <w:ind w:left="426" w:hanging="426"/>
        <w:jc w:val="both"/>
        <w:rPr>
          <w:sz w:val="22"/>
          <w:szCs w:val="22"/>
          <w:lang w:eastAsia="en-US"/>
        </w:rPr>
      </w:pPr>
      <w:r w:rsidRPr="009B428B">
        <w:rPr>
          <w:sz w:val="22"/>
          <w:szCs w:val="22"/>
          <w:lang w:eastAsia="en-US"/>
        </w:rPr>
        <w:t>Transporta infrastruktūras teritorija</w:t>
      </w:r>
      <w:r w:rsidRPr="009B428B">
        <w:rPr>
          <w:lang w:eastAsia="en-US"/>
        </w:rPr>
        <w:t xml:space="preserve"> un </w:t>
      </w:r>
      <w:r w:rsidRPr="009B428B">
        <w:rPr>
          <w:b/>
          <w:i/>
          <w:color w:val="7F7F7F"/>
          <w:sz w:val="20"/>
          <w:szCs w:val="20"/>
          <w:lang w:eastAsia="en-US"/>
        </w:rPr>
        <w:t xml:space="preserve"> </w:t>
      </w:r>
      <w:r w:rsidRPr="009B428B">
        <w:rPr>
          <w:sz w:val="22"/>
          <w:szCs w:val="22"/>
          <w:lang w:eastAsia="en-US"/>
        </w:rPr>
        <w:t>līnijveida inženiertehniskās apgādes tīkli un  to objekti (piemēram, elektropārvades līnijas, cauruļvadi, kabeļi, transformatoru punkti, mobilo sakaru torņi), meliorācijas būves un ierīces, kā arī vēja elektrostacijas teritorijas plānojumā tiek parādītas kā objekti tajā funkcionālajā zonā, kurā tie atrodas un projektējami pēc nepieciešamības, ja nepieciešams detalizējami detālplānojumā.</w:t>
      </w:r>
    </w:p>
    <w:p w:rsidR="009B428B" w:rsidRPr="009B428B" w:rsidRDefault="009B428B" w:rsidP="009B428B">
      <w:pPr>
        <w:spacing w:before="120" w:after="120"/>
        <w:ind w:left="426"/>
        <w:jc w:val="both"/>
        <w:rPr>
          <w:sz w:val="22"/>
          <w:szCs w:val="22"/>
          <w:lang w:eastAsia="en-US"/>
        </w:rPr>
      </w:pPr>
      <w:r w:rsidRPr="009B428B">
        <w:rPr>
          <w:sz w:val="22"/>
          <w:szCs w:val="22"/>
          <w:lang w:eastAsia="en-US"/>
        </w:rPr>
        <w:br w:type="page"/>
      </w:r>
    </w:p>
    <w:p w:rsidR="009B428B" w:rsidRPr="009B428B" w:rsidRDefault="009B428B" w:rsidP="009B428B">
      <w:pPr>
        <w:keepNext/>
        <w:pBdr>
          <w:bottom w:val="single" w:sz="4" w:space="1" w:color="auto"/>
        </w:pBdr>
        <w:tabs>
          <w:tab w:val="num" w:pos="1276"/>
          <w:tab w:val="left" w:pos="1560"/>
        </w:tabs>
        <w:spacing w:before="240"/>
        <w:outlineLvl w:val="1"/>
        <w:rPr>
          <w:b/>
          <w:bCs/>
          <w:iCs/>
          <w:color w:val="7F7F7F"/>
          <w:sz w:val="28"/>
          <w:szCs w:val="28"/>
        </w:rPr>
      </w:pPr>
      <w:r w:rsidRPr="009B428B">
        <w:lastRenderedPageBreak/>
        <w:t>A. Galvenais izmantošanas veids: Lauksaimniecības teritorija</w:t>
      </w:r>
      <w:r w:rsidRPr="009B428B">
        <w:rPr>
          <w:b/>
          <w:bCs/>
          <w:i/>
          <w:iCs/>
          <w:sz w:val="28"/>
          <w:szCs w:val="28"/>
        </w:rPr>
        <w:t xml:space="preserve"> </w:t>
      </w:r>
      <w:r w:rsidRPr="00243F18">
        <w:rPr>
          <w:b/>
          <w:bCs/>
          <w:i/>
          <w:iCs/>
          <w:sz w:val="28"/>
          <w:szCs w:val="28"/>
          <w:vertAlign w:val="superscript"/>
        </w:rPr>
        <w:footnoteReference w:id="1"/>
      </w:r>
    </w:p>
    <w:p w:rsidR="009B428B" w:rsidRPr="009B428B" w:rsidRDefault="009B428B" w:rsidP="009B428B"/>
    <w:p w:rsidR="009B428B" w:rsidRPr="009B428B" w:rsidRDefault="009B428B" w:rsidP="009B428B">
      <w:pPr>
        <w:jc w:val="both"/>
      </w:pPr>
      <w:r w:rsidRPr="009B428B">
        <w:t>A.1. Lauksaimniecības teritorija (L) ir funkcionālā zona, ko nosaka, lai nodrošinātu lauksaimniecības zemes kā resursa racionālu un daudzveidīgu izmantošanu visu veidu lauksaimnieciskajai darbībai un ar to saistītajiem pakalpojumiem.</w:t>
      </w:r>
    </w:p>
    <w:p w:rsidR="009B428B" w:rsidRPr="009B428B" w:rsidRDefault="009B428B" w:rsidP="009B428B"/>
    <w:p w:rsidR="009B428B" w:rsidRPr="009B428B" w:rsidRDefault="009B428B" w:rsidP="009B428B">
      <w:r w:rsidRPr="009B428B">
        <w:t>A.2. 13</w:t>
      </w:r>
      <w:r w:rsidRPr="00243F18">
        <w:rPr>
          <w:vertAlign w:val="superscript"/>
        </w:rPr>
        <w:footnoteReference w:id="2"/>
      </w:r>
      <w:r w:rsidRPr="009B428B">
        <w:t xml:space="preserve"> Lauksaimniecības teritorijā noteikt šādus galvenos izmantošanas veidus </w:t>
      </w:r>
    </w:p>
    <w:p w:rsidR="009B428B" w:rsidRPr="009B428B" w:rsidRDefault="009B428B" w:rsidP="009B428B">
      <w:pPr>
        <w:ind w:firstLine="2410"/>
      </w:pPr>
      <w:r w:rsidRPr="009B428B">
        <w:t>a) lauksaimnieciska izmantošana;</w:t>
      </w:r>
    </w:p>
    <w:p w:rsidR="009B428B" w:rsidRPr="009B428B" w:rsidRDefault="009B428B" w:rsidP="009B428B">
      <w:pPr>
        <w:ind w:firstLine="2410"/>
      </w:pPr>
      <w:r w:rsidRPr="009B428B">
        <w:t>b) viensētu apbūve;</w:t>
      </w:r>
    </w:p>
    <w:p w:rsidR="009B428B" w:rsidRPr="009B428B" w:rsidRDefault="009B428B" w:rsidP="009B428B">
      <w:pPr>
        <w:ind w:firstLine="2410"/>
      </w:pPr>
      <w:r w:rsidRPr="009B428B">
        <w:t>c) lauksaimnieciskās ražošanas uzņēmumu apbūve;</w:t>
      </w:r>
    </w:p>
    <w:p w:rsidR="009B428B" w:rsidRPr="009B428B" w:rsidRDefault="009B428B" w:rsidP="009B428B">
      <w:pPr>
        <w:ind w:firstLine="2410"/>
      </w:pPr>
      <w:r w:rsidRPr="009B428B">
        <w:t>d) publiskā ārtelpa.</w:t>
      </w:r>
    </w:p>
    <w:p w:rsidR="009B428B" w:rsidRPr="009B428B" w:rsidRDefault="009B428B" w:rsidP="009B428B">
      <w:bookmarkStart w:id="1" w:name="p56"/>
      <w:bookmarkStart w:id="2" w:name="p-469125"/>
      <w:bookmarkEnd w:id="1"/>
      <w:bookmarkEnd w:id="2"/>
    </w:p>
    <w:p w:rsidR="009B428B" w:rsidRPr="009B428B" w:rsidRDefault="009B428B" w:rsidP="009B428B">
      <w:r w:rsidRPr="009B428B">
        <w:t>A.3. Lauksaimniecības teritorijā noteikt šādus papildizmantošanas veidus:</w:t>
      </w:r>
    </w:p>
    <w:p w:rsidR="009B428B" w:rsidRPr="009B428B" w:rsidRDefault="009B428B" w:rsidP="009B428B">
      <w:pPr>
        <w:ind w:firstLine="1560"/>
      </w:pPr>
    </w:p>
    <w:p w:rsidR="009B428B" w:rsidRPr="009B428B" w:rsidRDefault="009B428B" w:rsidP="009B428B">
      <w:pPr>
        <w:ind w:left="993" w:hanging="284"/>
      </w:pPr>
      <w:r w:rsidRPr="009B428B">
        <w:t>f) mežsaimnieciska izmantošana;</w:t>
      </w:r>
    </w:p>
    <w:p w:rsidR="009B428B" w:rsidRPr="009B428B" w:rsidRDefault="009B428B" w:rsidP="009B428B">
      <w:pPr>
        <w:ind w:left="993" w:hanging="284"/>
      </w:pPr>
      <w:r w:rsidRPr="009B428B">
        <w:t>g) tehniskā apbūve un teritorijas izmantošana;</w:t>
      </w:r>
    </w:p>
    <w:p w:rsidR="009B428B" w:rsidRPr="009B428B" w:rsidRDefault="009B428B" w:rsidP="009B428B">
      <w:pPr>
        <w:ind w:firstLine="1560"/>
      </w:pPr>
      <w:r w:rsidRPr="009B428B">
        <w:t>1) inženiertehniskā infrastruktūra;</w:t>
      </w:r>
    </w:p>
    <w:p w:rsidR="009B428B" w:rsidRPr="009B428B" w:rsidRDefault="009B428B" w:rsidP="009B428B">
      <w:pPr>
        <w:ind w:firstLine="1560"/>
      </w:pPr>
      <w:r w:rsidRPr="009B428B">
        <w:t>2) transporta lineārā infrastruktūra;</w:t>
      </w:r>
    </w:p>
    <w:p w:rsidR="009B428B" w:rsidRPr="009B428B" w:rsidRDefault="009B428B" w:rsidP="009B428B">
      <w:pPr>
        <w:ind w:firstLine="1560"/>
      </w:pPr>
      <w:r w:rsidRPr="009B428B">
        <w:t>3) transporta apkalpojošā infrastruktūra;</w:t>
      </w:r>
    </w:p>
    <w:p w:rsidR="009B428B" w:rsidRPr="009B428B" w:rsidRDefault="009B428B" w:rsidP="009B428B">
      <w:pPr>
        <w:ind w:firstLine="1560"/>
      </w:pPr>
      <w:r w:rsidRPr="009B428B">
        <w:t xml:space="preserve">4) noliktavu apbūve; </w:t>
      </w:r>
    </w:p>
    <w:p w:rsidR="009B428B" w:rsidRPr="009B428B" w:rsidRDefault="009B428B" w:rsidP="009B428B">
      <w:pPr>
        <w:ind w:firstLine="1560"/>
      </w:pPr>
      <w:r w:rsidRPr="009B428B">
        <w:t>5) energoapgādes uzņēmumu apbūve .</w:t>
      </w:r>
    </w:p>
    <w:p w:rsidR="009B428B" w:rsidRPr="009B428B" w:rsidRDefault="009B428B" w:rsidP="009B428B">
      <w:pPr>
        <w:ind w:firstLine="1560"/>
      </w:pPr>
    </w:p>
    <w:p w:rsidR="009B428B" w:rsidRPr="009B428B" w:rsidRDefault="009B428B" w:rsidP="009B428B">
      <w:r w:rsidRPr="009B428B">
        <w:t>A.4. Lauksaimniecības teritorijā noteikt šādus papildizmantošanas veidus, kuri atļauti, izstrādājot detālplānojumu, detalizējot izmantošanas veidus un platības (nepieciešama detālplānojuma izstrāde):</w:t>
      </w:r>
    </w:p>
    <w:p w:rsidR="009B428B" w:rsidRPr="009B428B" w:rsidRDefault="009B428B" w:rsidP="009B428B"/>
    <w:p w:rsidR="009B428B" w:rsidRPr="009B428B" w:rsidRDefault="009B428B" w:rsidP="009B428B">
      <w:pPr>
        <w:ind w:left="993" w:hanging="284"/>
      </w:pPr>
      <w:r w:rsidRPr="009B428B">
        <w:t>d). rūpnieciskā apbūve un teritorijas izmantošana:</w:t>
      </w:r>
    </w:p>
    <w:p w:rsidR="009B428B" w:rsidRPr="009B428B" w:rsidRDefault="009B428B" w:rsidP="009B428B">
      <w:pPr>
        <w:ind w:firstLine="1560"/>
      </w:pPr>
      <w:r w:rsidRPr="009B428B">
        <w:t>1) vieglās rūpniecības uzņēmumu apbūve;</w:t>
      </w:r>
    </w:p>
    <w:p w:rsidR="009B428B" w:rsidRPr="009B428B" w:rsidRDefault="009B428B" w:rsidP="009B428B">
      <w:pPr>
        <w:ind w:left="993" w:hanging="284"/>
      </w:pPr>
    </w:p>
    <w:p w:rsidR="009B428B" w:rsidRPr="009B428B" w:rsidRDefault="009B428B" w:rsidP="009B428B">
      <w:pPr>
        <w:ind w:left="993" w:hanging="284"/>
      </w:pPr>
      <w:r w:rsidRPr="009B428B">
        <w:t>e) publiskā apbūve un teritorijas izmantošana:</w:t>
      </w:r>
    </w:p>
    <w:p w:rsidR="009B428B" w:rsidRPr="009B428B" w:rsidRDefault="009B428B" w:rsidP="009B428B">
      <w:pPr>
        <w:ind w:firstLine="1560"/>
      </w:pPr>
      <w:r w:rsidRPr="009B428B">
        <w:t>1) tirdzniecības un (vai) pakalpojumu objektu apbūve;</w:t>
      </w:r>
    </w:p>
    <w:p w:rsidR="009B428B" w:rsidRPr="009B428B" w:rsidRDefault="009B428B" w:rsidP="009B428B">
      <w:pPr>
        <w:ind w:firstLine="1560"/>
      </w:pPr>
      <w:r w:rsidRPr="009B428B">
        <w:t>2) tūrisma un atpūtas iestāžu apbūve;</w:t>
      </w:r>
    </w:p>
    <w:p w:rsidR="009B428B" w:rsidRPr="009B428B" w:rsidRDefault="009B428B" w:rsidP="009B428B">
      <w:pPr>
        <w:ind w:firstLine="1560"/>
      </w:pPr>
      <w:r w:rsidRPr="009B428B">
        <w:t>3) sporta būvju apbūve;</w:t>
      </w:r>
    </w:p>
    <w:p w:rsidR="009B428B" w:rsidRPr="009B428B" w:rsidRDefault="009B428B" w:rsidP="009B428B">
      <w:pPr>
        <w:ind w:firstLine="1560"/>
      </w:pPr>
      <w:r w:rsidRPr="009B428B">
        <w:t>4) dzīvnieku aprūpes iestāžu apbūve.</w:t>
      </w:r>
    </w:p>
    <w:p w:rsidR="009B428B" w:rsidRPr="009B428B" w:rsidRDefault="009B428B" w:rsidP="009B428B">
      <w:pPr>
        <w:ind w:firstLine="1560"/>
      </w:pPr>
    </w:p>
    <w:p w:rsidR="009B428B" w:rsidRPr="009B428B" w:rsidRDefault="009B428B" w:rsidP="009B428B">
      <w:pPr>
        <w:keepNext/>
        <w:pBdr>
          <w:bottom w:val="single" w:sz="4" w:space="1" w:color="auto"/>
        </w:pBdr>
        <w:tabs>
          <w:tab w:val="num" w:pos="1276"/>
          <w:tab w:val="left" w:pos="1560"/>
        </w:tabs>
        <w:spacing w:before="240"/>
        <w:outlineLvl w:val="1"/>
      </w:pPr>
      <w:bookmarkStart w:id="3" w:name="p42"/>
      <w:bookmarkStart w:id="4" w:name="p-469107"/>
      <w:bookmarkStart w:id="5" w:name="n4.9"/>
      <w:bookmarkStart w:id="6" w:name="p47"/>
      <w:bookmarkStart w:id="7" w:name="p-469113"/>
      <w:bookmarkEnd w:id="3"/>
      <w:bookmarkEnd w:id="4"/>
      <w:bookmarkEnd w:id="5"/>
      <w:bookmarkEnd w:id="6"/>
      <w:bookmarkEnd w:id="7"/>
      <w:r w:rsidRPr="009B428B">
        <w:t xml:space="preserve">B. Mežu teritorija (M) </w:t>
      </w:r>
      <w:r w:rsidRPr="009B428B">
        <w:rPr>
          <w:i/>
          <w:vertAlign w:val="superscript"/>
        </w:rPr>
        <w:footnoteReference w:id="3"/>
      </w:r>
      <w:r w:rsidRPr="009B428B">
        <w:t>-papildizmantošanas veids</w:t>
      </w:r>
    </w:p>
    <w:p w:rsidR="009B428B" w:rsidRPr="009B428B" w:rsidRDefault="009B428B" w:rsidP="009B428B">
      <w:pPr>
        <w:jc w:val="both"/>
      </w:pPr>
      <w:bookmarkStart w:id="8" w:name="p51"/>
      <w:bookmarkStart w:id="9" w:name="p-469119"/>
      <w:bookmarkEnd w:id="8"/>
      <w:bookmarkEnd w:id="9"/>
    </w:p>
    <w:p w:rsidR="009B428B" w:rsidRPr="009B428B" w:rsidRDefault="009B428B" w:rsidP="009B428B">
      <w:pPr>
        <w:jc w:val="both"/>
      </w:pPr>
      <w:r w:rsidRPr="009B428B">
        <w:t>B.1. Mežu teritorija (M) ir funkcionālā zona, ko nosaka, lai nodrošinātu apstākļus mežu ilgtspējīgai attīstībai un ar mežu saistīto galveno – saimniecisko, ekoloģisko un sociālo – funkciju īstenošanai.</w:t>
      </w:r>
    </w:p>
    <w:p w:rsidR="009B428B" w:rsidRPr="009B428B" w:rsidRDefault="009B428B" w:rsidP="009B428B">
      <w:bookmarkStart w:id="10" w:name="p52"/>
      <w:bookmarkStart w:id="11" w:name="p-469120"/>
      <w:bookmarkEnd w:id="10"/>
      <w:bookmarkEnd w:id="11"/>
    </w:p>
    <w:p w:rsidR="009B428B" w:rsidRPr="009B428B" w:rsidRDefault="009B428B" w:rsidP="009B428B">
      <w:r w:rsidRPr="009B428B">
        <w:t>B.2. Mežu teritorijas galvenie izmantošanas veidi ir:</w:t>
      </w:r>
    </w:p>
    <w:p w:rsidR="009B428B" w:rsidRPr="009B428B" w:rsidRDefault="009B428B" w:rsidP="009B428B">
      <w:pPr>
        <w:ind w:left="993"/>
      </w:pPr>
      <w:r w:rsidRPr="009B428B">
        <w:t>a) mežsaimnieciska izmantošana;</w:t>
      </w:r>
    </w:p>
    <w:p w:rsidR="009B428B" w:rsidRPr="009B428B" w:rsidRDefault="009B428B" w:rsidP="009B428B">
      <w:pPr>
        <w:ind w:left="993"/>
      </w:pPr>
      <w:r w:rsidRPr="009B428B">
        <w:t>b)  publiskā ārtelpa (ar vai bez labiekārtojuma).</w:t>
      </w:r>
    </w:p>
    <w:p w:rsidR="009B428B" w:rsidRPr="009B428B" w:rsidRDefault="009B428B" w:rsidP="009B428B">
      <w:bookmarkStart w:id="12" w:name="p53"/>
      <w:bookmarkStart w:id="13" w:name="p-469121"/>
      <w:bookmarkEnd w:id="12"/>
      <w:bookmarkEnd w:id="13"/>
    </w:p>
    <w:p w:rsidR="009B428B" w:rsidRPr="009B428B" w:rsidRDefault="009B428B" w:rsidP="009B428B">
      <w:r w:rsidRPr="009B428B">
        <w:t>B.3. Mežu teritorijā noteikt šādus papildizmantošanas veidus:</w:t>
      </w:r>
    </w:p>
    <w:p w:rsidR="009B428B" w:rsidRPr="009B428B" w:rsidRDefault="009B428B" w:rsidP="009B428B">
      <w:pPr>
        <w:ind w:left="993" w:firstLine="283"/>
      </w:pPr>
      <w:r w:rsidRPr="009B428B">
        <w:lastRenderedPageBreak/>
        <w:t>a). publiskā apbūve un teritorijas izmantošana( nepieciešama detālplānojuma izstrāde):</w:t>
      </w:r>
    </w:p>
    <w:p w:rsidR="009B428B" w:rsidRPr="009B428B" w:rsidRDefault="009B428B" w:rsidP="009B428B">
      <w:pPr>
        <w:ind w:left="993" w:firstLine="283"/>
      </w:pPr>
      <w:r w:rsidRPr="009B428B">
        <w:t>1) tirdzniecības un (vai) pakalpojumu objektu apbūve;</w:t>
      </w:r>
    </w:p>
    <w:p w:rsidR="009B428B" w:rsidRPr="009B428B" w:rsidRDefault="009B428B" w:rsidP="009B428B">
      <w:pPr>
        <w:ind w:left="993" w:firstLine="283"/>
      </w:pPr>
      <w:r w:rsidRPr="009B428B">
        <w:t>2) tūrisma un atpūtas iestāžu apbūve;</w:t>
      </w:r>
    </w:p>
    <w:p w:rsidR="009B428B" w:rsidRPr="009B428B" w:rsidRDefault="009B428B" w:rsidP="009B428B">
      <w:pPr>
        <w:ind w:left="993" w:firstLine="283"/>
      </w:pPr>
      <w:r w:rsidRPr="009B428B">
        <w:t>3) sporta būvju apbūve;</w:t>
      </w:r>
    </w:p>
    <w:p w:rsidR="009B428B" w:rsidRPr="009B428B" w:rsidRDefault="009B428B" w:rsidP="009B428B">
      <w:pPr>
        <w:ind w:left="993" w:firstLine="283"/>
      </w:pPr>
      <w:r w:rsidRPr="009B428B">
        <w:t>b). viensētu apbūve, ja zemes vienības platība nav mazāka par 2 ha un aizsargjoslas vai meža nozari regulējošajos normatīvajos aktos nav noteikta lielāka platība;</w:t>
      </w:r>
    </w:p>
    <w:p w:rsidR="009B428B" w:rsidRPr="009B428B" w:rsidRDefault="009B428B" w:rsidP="009B428B">
      <w:pPr>
        <w:ind w:left="993" w:firstLine="283"/>
      </w:pPr>
      <w:r w:rsidRPr="009B428B">
        <w:t>c) derīgo izrakteņu ieguve.</w:t>
      </w:r>
    </w:p>
    <w:p w:rsidR="009B428B" w:rsidRPr="009B428B" w:rsidRDefault="009B428B" w:rsidP="009B428B">
      <w:pPr>
        <w:ind w:left="993" w:firstLine="850"/>
      </w:pPr>
    </w:p>
    <w:p w:rsidR="009B428B" w:rsidRPr="009B428B" w:rsidRDefault="009B428B" w:rsidP="009B428B">
      <w:pPr>
        <w:keepNext/>
        <w:pBdr>
          <w:bottom w:val="single" w:sz="4" w:space="1" w:color="auto"/>
        </w:pBdr>
        <w:tabs>
          <w:tab w:val="num" w:pos="1276"/>
          <w:tab w:val="left" w:pos="1560"/>
        </w:tabs>
        <w:spacing w:before="240"/>
        <w:outlineLvl w:val="1"/>
      </w:pPr>
      <w:r w:rsidRPr="009B428B">
        <w:t>C. Tehniskās apbūves teritorija (TA) papildizmantošanas veids</w:t>
      </w:r>
    </w:p>
    <w:p w:rsidR="009B428B" w:rsidRPr="009B428B" w:rsidRDefault="009B428B" w:rsidP="009B428B">
      <w:pPr>
        <w:jc w:val="both"/>
      </w:pPr>
      <w:bookmarkStart w:id="14" w:name="p45"/>
      <w:bookmarkStart w:id="15" w:name="p-469111"/>
      <w:bookmarkEnd w:id="14"/>
      <w:bookmarkEnd w:id="15"/>
    </w:p>
    <w:p w:rsidR="009B428B" w:rsidRPr="009B428B" w:rsidRDefault="009B428B" w:rsidP="009B428B">
      <w:pPr>
        <w:jc w:val="both"/>
      </w:pPr>
      <w:r w:rsidRPr="009B428B">
        <w:t>C.1. Tehniskās apbūves teritorija (TA) ir funkcionālā zona, ko nosaka, lai nodrošinātu inženiertehniskās apgādes tīklu un objektu izbūvei, uzturēšanai, funkcionēšanai un attīstībai nepieciešamo teritorijas organizāciju un transporta infrastruktūru.</w:t>
      </w:r>
    </w:p>
    <w:p w:rsidR="009B428B" w:rsidRPr="009B428B" w:rsidRDefault="009B428B" w:rsidP="009B428B">
      <w:pPr>
        <w:spacing w:before="100" w:beforeAutospacing="1" w:after="100" w:afterAutospacing="1"/>
      </w:pPr>
      <w:bookmarkStart w:id="16" w:name="p46"/>
      <w:bookmarkStart w:id="17" w:name="p-469112"/>
      <w:bookmarkEnd w:id="16"/>
      <w:bookmarkEnd w:id="17"/>
      <w:r w:rsidRPr="009B428B">
        <w:t>C.2. Tehniskās apbūves teritorijas galvenie izmantošanas veidi ir:</w:t>
      </w:r>
    </w:p>
    <w:p w:rsidR="009B428B" w:rsidRPr="009B428B" w:rsidRDefault="009B428B" w:rsidP="009B428B">
      <w:pPr>
        <w:ind w:left="993" w:firstLine="850"/>
      </w:pPr>
      <w:r w:rsidRPr="009B428B">
        <w:t>a) tehniskā apbūve un teritorijas izmantošana;</w:t>
      </w:r>
    </w:p>
    <w:p w:rsidR="009B428B" w:rsidRPr="009B428B" w:rsidRDefault="009B428B" w:rsidP="009B428B">
      <w:pPr>
        <w:spacing w:before="100" w:beforeAutospacing="1" w:after="100" w:afterAutospacing="1"/>
      </w:pPr>
      <w:r w:rsidRPr="009B428B">
        <w:t>C.3. Tehniskās apbūves teritorijā kā papildizmantošanas veidu var noteikt publisko apbūvi un teritorijas izmantošanu ( nepieciešama detālplānojuma iz</w:t>
      </w:r>
      <w:r w:rsidR="00243F18">
        <w:t>s</w:t>
      </w:r>
      <w:r w:rsidRPr="009B428B">
        <w:t>trāde) :</w:t>
      </w:r>
    </w:p>
    <w:p w:rsidR="009B428B" w:rsidRPr="009B428B" w:rsidRDefault="009B428B" w:rsidP="009B428B">
      <w:pPr>
        <w:ind w:left="993" w:firstLine="850"/>
      </w:pPr>
      <w:r w:rsidRPr="009B428B">
        <w:t>b) biroju ēku apbūve;</w:t>
      </w:r>
    </w:p>
    <w:p w:rsidR="009B428B" w:rsidRPr="009B428B" w:rsidRDefault="009B428B" w:rsidP="009B428B">
      <w:pPr>
        <w:ind w:left="993" w:firstLine="850"/>
      </w:pPr>
      <w:r w:rsidRPr="009B428B">
        <w:t>c) tirdzniecības un pakalpojumu objektu apbūve;</w:t>
      </w:r>
    </w:p>
    <w:p w:rsidR="009B428B" w:rsidRPr="009B428B" w:rsidRDefault="009B428B" w:rsidP="009B428B">
      <w:pPr>
        <w:ind w:left="993" w:firstLine="850"/>
      </w:pPr>
    </w:p>
    <w:p w:rsidR="009B428B" w:rsidRPr="009B428B" w:rsidRDefault="009B428B" w:rsidP="009B428B">
      <w:pPr>
        <w:keepNext/>
        <w:pBdr>
          <w:bottom w:val="single" w:sz="4" w:space="1" w:color="auto"/>
        </w:pBdr>
        <w:tabs>
          <w:tab w:val="num" w:pos="1276"/>
          <w:tab w:val="left" w:pos="1560"/>
        </w:tabs>
        <w:spacing w:before="240"/>
        <w:outlineLvl w:val="1"/>
      </w:pPr>
      <w:r w:rsidRPr="009B428B">
        <w:t>D. Ūdeņu teritorija (Ū)</w:t>
      </w:r>
      <w:r w:rsidRPr="009B428B">
        <w:rPr>
          <w:vertAlign w:val="superscript"/>
        </w:rPr>
        <w:footnoteReference w:id="4"/>
      </w:r>
      <w:r w:rsidRPr="009B428B">
        <w:rPr>
          <w:vertAlign w:val="superscript"/>
        </w:rPr>
        <w:t xml:space="preserve"> </w:t>
      </w:r>
      <w:r w:rsidRPr="009B428B">
        <w:t>papildizmantošanas veids</w:t>
      </w:r>
    </w:p>
    <w:p w:rsidR="009B428B" w:rsidRPr="009B428B" w:rsidRDefault="009B428B" w:rsidP="009B428B">
      <w:pPr>
        <w:jc w:val="both"/>
      </w:pPr>
      <w:bookmarkStart w:id="18" w:name="p57"/>
      <w:bookmarkStart w:id="19" w:name="p-469127"/>
      <w:bookmarkEnd w:id="18"/>
      <w:bookmarkEnd w:id="19"/>
    </w:p>
    <w:p w:rsidR="009B428B" w:rsidRPr="009B428B" w:rsidRDefault="009B428B" w:rsidP="009B428B">
      <w:pPr>
        <w:jc w:val="both"/>
      </w:pPr>
      <w:r w:rsidRPr="009B428B">
        <w:t>D. 1. Ūdeņu teritorija (Ū) ir funkcionālā zona, ko nosaka, lai izplānotu un nodrošinātu racionālu un ilgtspējīgu ūdens resursu izmantošanu saimnieciskai darbībai, transportam, rekreācijai un vides aizsardzībai.</w:t>
      </w:r>
    </w:p>
    <w:p w:rsidR="009B428B" w:rsidRPr="009B428B" w:rsidRDefault="009B428B" w:rsidP="009B428B">
      <w:pPr>
        <w:jc w:val="both"/>
      </w:pPr>
      <w:bookmarkStart w:id="20" w:name="p58"/>
      <w:bookmarkStart w:id="21" w:name="p-469128"/>
      <w:bookmarkEnd w:id="20"/>
      <w:bookmarkEnd w:id="21"/>
    </w:p>
    <w:p w:rsidR="009B428B" w:rsidRPr="009B428B" w:rsidRDefault="009B428B" w:rsidP="009B428B">
      <w:pPr>
        <w:jc w:val="both"/>
      </w:pPr>
      <w:r w:rsidRPr="009B428B">
        <w:t>D.2. Ūdeņu teritorijas galvenie izmantošanas veidi ir:</w:t>
      </w:r>
    </w:p>
    <w:p w:rsidR="009B428B" w:rsidRPr="009B428B" w:rsidRDefault="009B428B" w:rsidP="009B428B">
      <w:pPr>
        <w:jc w:val="both"/>
      </w:pPr>
    </w:p>
    <w:p w:rsidR="009B428B" w:rsidRPr="009B428B" w:rsidRDefault="009B428B" w:rsidP="009B428B">
      <w:pPr>
        <w:ind w:left="993" w:firstLine="850"/>
      </w:pPr>
      <w:r w:rsidRPr="009B428B">
        <w:t>a) ūdenssaimnieciskā izmantošana;</w:t>
      </w:r>
    </w:p>
    <w:p w:rsidR="009B428B" w:rsidRPr="009B428B" w:rsidRDefault="009B428B" w:rsidP="009B428B">
      <w:pPr>
        <w:ind w:left="993" w:firstLine="850"/>
      </w:pPr>
      <w:r w:rsidRPr="009B428B">
        <w:t>b) tehniskā apbūve un teritorijas izmantošana:</w:t>
      </w:r>
    </w:p>
    <w:p w:rsidR="009B428B" w:rsidRPr="009B428B" w:rsidRDefault="009B428B" w:rsidP="009B428B">
      <w:pPr>
        <w:ind w:left="993" w:firstLine="1417"/>
      </w:pPr>
      <w:r w:rsidRPr="009B428B">
        <w:t>1) transporta lineārās infrastruktūras apbūve;</w:t>
      </w:r>
    </w:p>
    <w:p w:rsidR="009B428B" w:rsidRPr="009B428B" w:rsidRDefault="009B428B" w:rsidP="009B428B">
      <w:pPr>
        <w:ind w:left="993" w:firstLine="1417"/>
      </w:pPr>
      <w:r w:rsidRPr="009B428B">
        <w:t>2) transporta apkalpojošās infrastruktūras apbūve;</w:t>
      </w:r>
    </w:p>
    <w:p w:rsidR="009B428B" w:rsidRPr="009B428B" w:rsidRDefault="009B428B" w:rsidP="009B428B">
      <w:pPr>
        <w:ind w:left="993" w:firstLine="1417"/>
      </w:pPr>
      <w:r w:rsidRPr="009B428B">
        <w:t>3) inženiertehniskās infrastruktūras apbūve;</w:t>
      </w:r>
    </w:p>
    <w:p w:rsidR="009B428B" w:rsidRPr="009B428B" w:rsidRDefault="009B428B" w:rsidP="009B428B">
      <w:pPr>
        <w:ind w:left="993" w:firstLine="1417"/>
      </w:pPr>
      <w:r w:rsidRPr="009B428B">
        <w:t>4) energoapgādes uzņēmumu apbūve;</w:t>
      </w:r>
    </w:p>
    <w:p w:rsidR="009B428B" w:rsidRPr="009B428B" w:rsidRDefault="009B428B" w:rsidP="009B428B">
      <w:pPr>
        <w:ind w:left="993" w:firstLine="850"/>
      </w:pPr>
      <w:r w:rsidRPr="009B428B">
        <w:t>c) ūdens telpas publiskā izmantošana.</w:t>
      </w:r>
    </w:p>
    <w:p w:rsidR="009B428B" w:rsidRPr="009B428B" w:rsidRDefault="009B428B" w:rsidP="009B428B">
      <w:pPr>
        <w:jc w:val="both"/>
      </w:pPr>
      <w:r w:rsidRPr="009B428B">
        <w:t>D.3. Ūdeņu teritorijā var noteikt šādus papildizmantošanas veidus:</w:t>
      </w:r>
    </w:p>
    <w:p w:rsidR="009B428B" w:rsidRPr="009B428B" w:rsidRDefault="009B428B" w:rsidP="009B428B">
      <w:pPr>
        <w:ind w:left="993" w:firstLine="850"/>
      </w:pPr>
      <w:r w:rsidRPr="009B428B">
        <w:t>a) dzīvojamā apbūve uz ūdens;</w:t>
      </w:r>
    </w:p>
    <w:p w:rsidR="009B428B" w:rsidRPr="009B428B" w:rsidRDefault="009B428B" w:rsidP="009B428B">
      <w:pPr>
        <w:ind w:left="993" w:firstLine="850"/>
      </w:pPr>
      <w:r w:rsidRPr="009B428B">
        <w:t>b) derīgo izrakteņu ieguve.</w:t>
      </w:r>
    </w:p>
    <w:p w:rsidR="009B428B" w:rsidRPr="009B428B" w:rsidRDefault="009B428B" w:rsidP="009B428B">
      <w:pPr>
        <w:ind w:left="993" w:firstLine="850"/>
      </w:pPr>
      <w:r w:rsidRPr="009B428B">
        <w:br w:type="page"/>
      </w:r>
    </w:p>
    <w:p w:rsidR="009B428B" w:rsidRPr="009B428B" w:rsidRDefault="009B428B" w:rsidP="009B428B">
      <w:pPr>
        <w:keepNext/>
        <w:pBdr>
          <w:bottom w:val="single" w:sz="4" w:space="1" w:color="auto"/>
        </w:pBdr>
        <w:tabs>
          <w:tab w:val="num" w:pos="1276"/>
          <w:tab w:val="left" w:pos="1560"/>
        </w:tabs>
        <w:spacing w:before="240"/>
        <w:outlineLvl w:val="1"/>
      </w:pPr>
      <w:r w:rsidRPr="009B428B">
        <w:lastRenderedPageBreak/>
        <w:t xml:space="preserve">E. Transporta infrastruktūras teritorija </w:t>
      </w:r>
      <w:r w:rsidRPr="009B428B">
        <w:rPr>
          <w:vertAlign w:val="superscript"/>
        </w:rPr>
        <w:footnoteReference w:id="5"/>
      </w:r>
      <w:r w:rsidRPr="009B428B">
        <w:rPr>
          <w:vertAlign w:val="superscript"/>
        </w:rPr>
        <w:t xml:space="preserve"> </w:t>
      </w:r>
    </w:p>
    <w:p w:rsidR="009B428B" w:rsidRPr="009B428B" w:rsidRDefault="009B428B" w:rsidP="009B428B"/>
    <w:p w:rsidR="009B428B" w:rsidRPr="009B428B" w:rsidRDefault="009B428B" w:rsidP="009B428B">
      <w:pPr>
        <w:jc w:val="both"/>
      </w:pPr>
      <w:r w:rsidRPr="009B428B">
        <w:t>E.1. Transporta infrastruktūras teritorija (TR) ir funkcionālā zona, ko nosaka, lai nodrošinātu visu veidu transportlīdzekļu un gājēju satiksmei nepieciešamo infrastruktūru, kā arī lai nodrošinātu lidostu un ostu uzņēmumu darbību un attīstībai nepieciešamo teritorijas organizāciju un inženiertehnisko apgādi.</w:t>
      </w:r>
    </w:p>
    <w:p w:rsidR="009B428B" w:rsidRPr="009B428B" w:rsidRDefault="009B428B" w:rsidP="009B428B">
      <w:bookmarkStart w:id="22" w:name="p43"/>
      <w:bookmarkStart w:id="23" w:name="p-469108"/>
      <w:bookmarkEnd w:id="22"/>
      <w:bookmarkEnd w:id="23"/>
    </w:p>
    <w:p w:rsidR="009B428B" w:rsidRPr="009B428B" w:rsidRDefault="009B428B" w:rsidP="009B428B">
      <w:r w:rsidRPr="009B428B">
        <w:t>E.2. Transporta infrastruktūras teritorijas galvenie izmantošanas veidi ir:</w:t>
      </w:r>
    </w:p>
    <w:p w:rsidR="009B428B" w:rsidRPr="009B428B" w:rsidRDefault="009B428B" w:rsidP="009B428B">
      <w:pPr>
        <w:ind w:firstLine="2410"/>
      </w:pPr>
      <w:r w:rsidRPr="009B428B">
        <w:t>a) Inženiertehniskā infrastruktūra;</w:t>
      </w:r>
    </w:p>
    <w:p w:rsidR="009B428B" w:rsidRPr="009B428B" w:rsidRDefault="009B428B" w:rsidP="009B428B">
      <w:pPr>
        <w:ind w:firstLine="2410"/>
      </w:pPr>
      <w:r w:rsidRPr="009B428B">
        <w:t>b) Transporta lineārā infrastruktūra;</w:t>
      </w:r>
    </w:p>
    <w:p w:rsidR="009B428B" w:rsidRPr="009B428B" w:rsidRDefault="009B428B" w:rsidP="009B428B">
      <w:pPr>
        <w:ind w:firstLine="2410"/>
      </w:pPr>
      <w:r w:rsidRPr="009B428B">
        <w:t>c) Transporta apkalpojošā infrastruktūra;</w:t>
      </w:r>
    </w:p>
    <w:p w:rsidR="009B428B" w:rsidRPr="009B428B" w:rsidRDefault="009B428B" w:rsidP="009B428B">
      <w:r w:rsidRPr="009B428B">
        <w:t>E.3. Transporta infrastruktūras teritorijā var noteikt šādus papildizmantošanas veidus:</w:t>
      </w:r>
    </w:p>
    <w:p w:rsidR="009B428B" w:rsidRPr="009B428B" w:rsidRDefault="009B428B" w:rsidP="009B428B">
      <w:pPr>
        <w:ind w:firstLine="2410"/>
      </w:pPr>
      <w:r w:rsidRPr="009B428B">
        <w:t>a) Publiskā apbūve un teritorijas izmantošana:</w:t>
      </w:r>
    </w:p>
    <w:p w:rsidR="009B428B" w:rsidRPr="009B428B" w:rsidRDefault="009B428B" w:rsidP="009B428B">
      <w:pPr>
        <w:ind w:firstLine="2410"/>
      </w:pPr>
      <w:r w:rsidRPr="009B428B">
        <w:t>d) Noliktavu apbūve.</w:t>
      </w:r>
    </w:p>
    <w:p w:rsidR="009B428B" w:rsidRPr="009B428B" w:rsidRDefault="009B428B" w:rsidP="009B428B">
      <w:pPr>
        <w:keepNext/>
        <w:pBdr>
          <w:bottom w:val="single" w:sz="4" w:space="1" w:color="auto"/>
        </w:pBdr>
        <w:tabs>
          <w:tab w:val="num" w:pos="1276"/>
          <w:tab w:val="left" w:pos="1560"/>
        </w:tabs>
        <w:spacing w:before="240"/>
        <w:outlineLvl w:val="1"/>
      </w:pPr>
      <w:r w:rsidRPr="009B428B">
        <w:t>F. Lokālplānojuma teritorijā noteiktais :</w:t>
      </w:r>
    </w:p>
    <w:p w:rsidR="009B428B" w:rsidRPr="009B428B" w:rsidRDefault="009B428B" w:rsidP="009B428B">
      <w:pPr>
        <w:jc w:val="both"/>
      </w:pPr>
      <w:r w:rsidRPr="009B428B">
        <w:t>F.1. Minimālais jaunveidojamo zemes vienību platība 2ha, izņemot transporta infrastruktūru  un tehniskās apbūves teritorijas;</w:t>
      </w:r>
    </w:p>
    <w:p w:rsidR="009B428B" w:rsidRPr="009B428B" w:rsidRDefault="009B428B" w:rsidP="009B428B">
      <w:pPr>
        <w:jc w:val="both"/>
      </w:pPr>
      <w:r w:rsidRPr="009B428B">
        <w:t>F.2. Apbūves augstums 12m līdz korei (neattiecas, ja augstumu nosaka tehnoloģiska nepieciešamība, torņi, masti u.c.);</w:t>
      </w:r>
    </w:p>
    <w:p w:rsidR="009B428B" w:rsidRPr="009B428B" w:rsidRDefault="009B428B" w:rsidP="009B428B">
      <w:pPr>
        <w:jc w:val="both"/>
      </w:pPr>
      <w:r w:rsidRPr="009B428B">
        <w:t>F.3. Apbūves blīvums  10%.</w:t>
      </w:r>
    </w:p>
    <w:p w:rsidR="009B428B" w:rsidRPr="009B428B" w:rsidRDefault="009B428B" w:rsidP="009B428B">
      <w:pPr>
        <w:jc w:val="both"/>
      </w:pPr>
      <w:r w:rsidRPr="009B428B">
        <w:t>F.4. Apbūves intensitāte  nosakāma  detālplānojumā, detālplānojuma izstrādes gadījumos.</w:t>
      </w:r>
    </w:p>
    <w:p w:rsidR="009B428B" w:rsidRPr="009B428B" w:rsidRDefault="009B428B" w:rsidP="009B428B">
      <w:pPr>
        <w:jc w:val="both"/>
      </w:pPr>
      <w:r w:rsidRPr="009B428B">
        <w:t>F.5. Brīvā zaļā teritorija nosakāma  detālplānojumā, detālplānojuma izstrādes gadījumos.</w:t>
      </w:r>
    </w:p>
    <w:p w:rsidR="009B428B" w:rsidRPr="009B428B" w:rsidRDefault="009B428B" w:rsidP="009B428B">
      <w:pPr>
        <w:keepNext/>
        <w:pBdr>
          <w:bottom w:val="single" w:sz="4" w:space="1" w:color="auto"/>
        </w:pBdr>
        <w:tabs>
          <w:tab w:val="num" w:pos="1276"/>
          <w:tab w:val="left" w:pos="1560"/>
        </w:tabs>
        <w:spacing w:before="240"/>
        <w:outlineLvl w:val="1"/>
      </w:pPr>
      <w:bookmarkStart w:id="24" w:name="p59"/>
      <w:bookmarkStart w:id="25" w:name="p-469129"/>
      <w:bookmarkEnd w:id="24"/>
      <w:bookmarkEnd w:id="25"/>
      <w:r w:rsidRPr="009B428B">
        <w:t>G. Funkcionālā zonējuma attēlošana grafiskajā daļā</w:t>
      </w:r>
      <w:r w:rsidRPr="009B428B">
        <w:rPr>
          <w:vertAlign w:val="superscript"/>
        </w:rPr>
        <w:footnoteReference w:id="6"/>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3293"/>
        <w:gridCol w:w="5283"/>
      </w:tblGrid>
      <w:tr w:rsidR="009B428B" w:rsidRPr="009B428B" w:rsidTr="00F1740B">
        <w:trPr>
          <w:trHeight w:val="20"/>
          <w:tblCellSpacing w:w="15" w:type="dxa"/>
        </w:trPr>
        <w:tc>
          <w:tcPr>
            <w:tcW w:w="600" w:type="dxa"/>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pPr>
              <w:spacing w:before="100" w:beforeAutospacing="1" w:after="100" w:afterAutospacing="1"/>
              <w:jc w:val="center"/>
            </w:pPr>
            <w:bookmarkStart w:id="26" w:name="469745"/>
            <w:bookmarkEnd w:id="26"/>
            <w:r w:rsidRPr="009B428B">
              <w:t>Nr.</w:t>
            </w:r>
            <w:r w:rsidRPr="009B428B">
              <w:br/>
              <w:t>p.k.</w:t>
            </w:r>
          </w:p>
        </w:tc>
        <w:tc>
          <w:tcPr>
            <w:tcW w:w="3263" w:type="dxa"/>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pPr>
              <w:jc w:val="center"/>
            </w:pPr>
            <w:r w:rsidRPr="009B428B">
              <w:t>Funkcionālā zona</w:t>
            </w:r>
          </w:p>
        </w:tc>
        <w:tc>
          <w:tcPr>
            <w:tcW w:w="5239" w:type="dxa"/>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pPr>
              <w:spacing w:before="100" w:beforeAutospacing="1" w:after="100" w:afterAutospacing="1"/>
              <w:jc w:val="center"/>
            </w:pPr>
            <w:r w:rsidRPr="009B428B">
              <w:t>Krāsa/</w:t>
            </w:r>
            <w:r w:rsidRPr="009B428B">
              <w:br/>
              <w:t>ģeotelpiskais kods/</w:t>
            </w:r>
            <w:r w:rsidRPr="009B428B">
              <w:br/>
              <w:t>noformējums</w:t>
            </w:r>
          </w:p>
        </w:tc>
      </w:tr>
      <w:tr w:rsidR="009B428B" w:rsidRPr="009B428B" w:rsidTr="00F1740B">
        <w:trPr>
          <w:trHeight w:val="276"/>
          <w:tblCellSpacing w:w="15" w:type="dxa"/>
        </w:trPr>
        <w:tc>
          <w:tcPr>
            <w:tcW w:w="600" w:type="dxa"/>
            <w:vMerge w:val="restart"/>
            <w:tcBorders>
              <w:top w:val="single" w:sz="6" w:space="0" w:color="auto"/>
              <w:left w:val="single" w:sz="6" w:space="0" w:color="auto"/>
              <w:bottom w:val="single" w:sz="6" w:space="0" w:color="auto"/>
              <w:right w:val="single" w:sz="6" w:space="0" w:color="auto"/>
            </w:tcBorders>
            <w:hideMark/>
          </w:tcPr>
          <w:p w:rsidR="009B428B" w:rsidRPr="009B428B" w:rsidRDefault="009B428B" w:rsidP="009B428B">
            <w:r w:rsidRPr="009B428B">
              <w:t>A</w:t>
            </w:r>
          </w:p>
        </w:tc>
        <w:tc>
          <w:tcPr>
            <w:tcW w:w="3263" w:type="dxa"/>
            <w:vMerge w:val="restart"/>
            <w:tcBorders>
              <w:top w:val="single" w:sz="6" w:space="0" w:color="auto"/>
              <w:left w:val="single" w:sz="6" w:space="0" w:color="auto"/>
              <w:bottom w:val="single" w:sz="6" w:space="0" w:color="auto"/>
              <w:right w:val="single" w:sz="6" w:space="0" w:color="auto"/>
            </w:tcBorders>
            <w:hideMark/>
          </w:tcPr>
          <w:p w:rsidR="009B428B" w:rsidRPr="009B428B" w:rsidRDefault="009B428B" w:rsidP="009B428B">
            <w:r w:rsidRPr="009B428B">
              <w:t>Lauksaimniecības teritorija L</w:t>
            </w:r>
          </w:p>
        </w:tc>
        <w:tc>
          <w:tcPr>
            <w:tcW w:w="5239" w:type="dxa"/>
            <w:vMerge w:val="restart"/>
            <w:tcBorders>
              <w:top w:val="single" w:sz="6" w:space="0" w:color="auto"/>
              <w:left w:val="single" w:sz="6" w:space="0" w:color="auto"/>
              <w:bottom w:val="single" w:sz="6" w:space="0" w:color="auto"/>
              <w:right w:val="single" w:sz="6" w:space="0" w:color="auto"/>
            </w:tcBorders>
            <w:shd w:val="clear" w:color="auto" w:fill="FFFFE1"/>
            <w:hideMark/>
          </w:tcPr>
          <w:p w:rsidR="009B428B" w:rsidRPr="009B428B" w:rsidRDefault="009B428B" w:rsidP="009B428B">
            <w:r w:rsidRPr="009B428B">
              <w:rPr>
                <w:i/>
                <w:iCs/>
              </w:rPr>
              <w:t>Gaiši dzeltens 1011100</w:t>
            </w:r>
            <w:r w:rsidRPr="009B428B">
              <w:rPr>
                <w:i/>
                <w:iCs/>
              </w:rPr>
              <w:br/>
            </w:r>
            <w:r w:rsidRPr="009B428B">
              <w:t>pildījums – RGB 255 255 225</w:t>
            </w:r>
            <w:r w:rsidRPr="009B428B">
              <w:br/>
              <w:t>kontūras – nav</w:t>
            </w:r>
          </w:p>
        </w:tc>
      </w:tr>
      <w:tr w:rsidR="009B428B" w:rsidRPr="009B428B" w:rsidTr="00F1740B">
        <w:trPr>
          <w:trHeight w:val="276"/>
          <w:tblCellSpacing w:w="15" w:type="dxa"/>
        </w:trPr>
        <w:tc>
          <w:tcPr>
            <w:tcW w:w="600"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3263"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5239"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r>
      <w:tr w:rsidR="009B428B" w:rsidRPr="009B428B" w:rsidTr="00F1740B">
        <w:trPr>
          <w:trHeight w:val="276"/>
          <w:tblCellSpacing w:w="15" w:type="dxa"/>
        </w:trPr>
        <w:tc>
          <w:tcPr>
            <w:tcW w:w="600"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3263"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5239"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r>
      <w:tr w:rsidR="009B428B" w:rsidRPr="009B428B" w:rsidTr="00F1740B">
        <w:trPr>
          <w:trHeight w:val="743"/>
          <w:tblCellSpacing w:w="15" w:type="dxa"/>
        </w:trPr>
        <w:tc>
          <w:tcPr>
            <w:tcW w:w="600" w:type="dxa"/>
            <w:tcBorders>
              <w:top w:val="single" w:sz="6" w:space="0" w:color="auto"/>
              <w:left w:val="single" w:sz="6" w:space="0" w:color="auto"/>
              <w:right w:val="single" w:sz="6" w:space="0" w:color="auto"/>
            </w:tcBorders>
            <w:hideMark/>
          </w:tcPr>
          <w:p w:rsidR="009B428B" w:rsidRPr="009B428B" w:rsidRDefault="009B428B" w:rsidP="009B428B">
            <w:r w:rsidRPr="009B428B">
              <w:t>C</w:t>
            </w:r>
          </w:p>
        </w:tc>
        <w:tc>
          <w:tcPr>
            <w:tcW w:w="3263" w:type="dxa"/>
            <w:tcBorders>
              <w:top w:val="single" w:sz="6" w:space="0" w:color="auto"/>
              <w:left w:val="single" w:sz="6" w:space="0" w:color="auto"/>
              <w:right w:val="single" w:sz="6" w:space="0" w:color="auto"/>
            </w:tcBorders>
            <w:hideMark/>
          </w:tcPr>
          <w:p w:rsidR="009B428B" w:rsidRPr="009B428B" w:rsidRDefault="009B428B" w:rsidP="009B428B">
            <w:r w:rsidRPr="009B428B">
              <w:t>Transporta infrastruktūras teritorija</w:t>
            </w:r>
          </w:p>
          <w:p w:rsidR="009B428B" w:rsidRPr="009B428B" w:rsidRDefault="009B428B" w:rsidP="009B428B">
            <w:r w:rsidRPr="009B428B">
              <w:t>TR</w:t>
            </w:r>
          </w:p>
        </w:tc>
        <w:tc>
          <w:tcPr>
            <w:tcW w:w="5239" w:type="dxa"/>
            <w:tcBorders>
              <w:top w:val="single" w:sz="6" w:space="0" w:color="auto"/>
              <w:left w:val="single" w:sz="6" w:space="0" w:color="auto"/>
              <w:right w:val="single" w:sz="6" w:space="0" w:color="auto"/>
            </w:tcBorders>
            <w:shd w:val="clear" w:color="auto" w:fill="E1E1E1"/>
            <w:hideMark/>
          </w:tcPr>
          <w:p w:rsidR="009B428B" w:rsidRPr="009B428B" w:rsidRDefault="009B428B" w:rsidP="009B428B">
            <w:r w:rsidRPr="009B428B">
              <w:rPr>
                <w:i/>
                <w:iCs/>
              </w:rPr>
              <w:t>Gaiši pelēks 1010700</w:t>
            </w:r>
            <w:r w:rsidRPr="009B428B">
              <w:rPr>
                <w:i/>
                <w:iCs/>
              </w:rPr>
              <w:br/>
            </w:r>
            <w:r w:rsidRPr="009B428B">
              <w:t>pildījums – RGB 225 225 225</w:t>
            </w:r>
            <w:r w:rsidRPr="009B428B">
              <w:br/>
              <w:t>kontūras – nav</w:t>
            </w:r>
          </w:p>
        </w:tc>
      </w:tr>
      <w:tr w:rsidR="009B428B" w:rsidRPr="009B428B" w:rsidTr="00F1740B">
        <w:trPr>
          <w:trHeight w:val="276"/>
          <w:tblCellSpacing w:w="15" w:type="dxa"/>
        </w:trPr>
        <w:tc>
          <w:tcPr>
            <w:tcW w:w="600" w:type="dxa"/>
            <w:vMerge w:val="restart"/>
            <w:tcBorders>
              <w:top w:val="single" w:sz="6" w:space="0" w:color="auto"/>
              <w:left w:val="single" w:sz="6" w:space="0" w:color="auto"/>
              <w:bottom w:val="single" w:sz="6" w:space="0" w:color="auto"/>
              <w:right w:val="single" w:sz="6" w:space="0" w:color="auto"/>
            </w:tcBorders>
            <w:hideMark/>
          </w:tcPr>
          <w:p w:rsidR="009B428B" w:rsidRPr="009B428B" w:rsidRDefault="009B428B" w:rsidP="009B428B">
            <w:r w:rsidRPr="009B428B">
              <w:t>D</w:t>
            </w:r>
          </w:p>
        </w:tc>
        <w:tc>
          <w:tcPr>
            <w:tcW w:w="3263" w:type="dxa"/>
            <w:vMerge w:val="restart"/>
            <w:tcBorders>
              <w:top w:val="single" w:sz="6" w:space="0" w:color="auto"/>
              <w:left w:val="single" w:sz="6" w:space="0" w:color="auto"/>
              <w:bottom w:val="single" w:sz="6" w:space="0" w:color="auto"/>
              <w:right w:val="single" w:sz="6" w:space="0" w:color="auto"/>
            </w:tcBorders>
            <w:hideMark/>
          </w:tcPr>
          <w:p w:rsidR="009B428B" w:rsidRPr="009B428B" w:rsidRDefault="009B428B" w:rsidP="009B428B">
            <w:r w:rsidRPr="009B428B">
              <w:t>Mežu teritorija M</w:t>
            </w:r>
          </w:p>
          <w:p w:rsidR="009B428B" w:rsidRPr="009B428B" w:rsidRDefault="009B428B" w:rsidP="009B428B"/>
        </w:tc>
        <w:tc>
          <w:tcPr>
            <w:tcW w:w="5239" w:type="dxa"/>
            <w:vMerge w:val="restart"/>
            <w:tcBorders>
              <w:top w:val="single" w:sz="6" w:space="0" w:color="auto"/>
              <w:left w:val="single" w:sz="6" w:space="0" w:color="auto"/>
              <w:bottom w:val="single" w:sz="6" w:space="0" w:color="auto"/>
              <w:right w:val="single" w:sz="6" w:space="0" w:color="auto"/>
            </w:tcBorders>
            <w:shd w:val="clear" w:color="auto" w:fill="D2E6B4"/>
            <w:hideMark/>
          </w:tcPr>
          <w:p w:rsidR="009B428B" w:rsidRPr="009B428B" w:rsidRDefault="009B428B" w:rsidP="009B428B">
            <w:r w:rsidRPr="009B428B">
              <w:rPr>
                <w:i/>
                <w:iCs/>
              </w:rPr>
              <w:t>Pelēki zaļš 1011000</w:t>
            </w:r>
            <w:r w:rsidRPr="009B428B">
              <w:rPr>
                <w:i/>
                <w:iCs/>
              </w:rPr>
              <w:br/>
            </w:r>
            <w:r w:rsidRPr="009B428B">
              <w:t>pildījums – RGB 210 230 180</w:t>
            </w:r>
            <w:r w:rsidRPr="009B428B">
              <w:br/>
              <w:t>kontūras – nav</w:t>
            </w:r>
          </w:p>
        </w:tc>
      </w:tr>
      <w:tr w:rsidR="009B428B" w:rsidRPr="009B428B" w:rsidTr="00F1740B">
        <w:trPr>
          <w:trHeight w:val="276"/>
          <w:tblCellSpacing w:w="15" w:type="dxa"/>
        </w:trPr>
        <w:tc>
          <w:tcPr>
            <w:tcW w:w="600"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3263"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5239"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r>
      <w:tr w:rsidR="009B428B" w:rsidRPr="009B428B" w:rsidTr="00F1740B">
        <w:trPr>
          <w:trHeight w:val="276"/>
          <w:tblCellSpacing w:w="15" w:type="dxa"/>
        </w:trPr>
        <w:tc>
          <w:tcPr>
            <w:tcW w:w="600"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3263"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5239"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r>
      <w:tr w:rsidR="009B428B" w:rsidRPr="009B428B" w:rsidTr="00F1740B">
        <w:trPr>
          <w:trHeight w:val="276"/>
          <w:tblCellSpacing w:w="15" w:type="dxa"/>
        </w:trPr>
        <w:tc>
          <w:tcPr>
            <w:tcW w:w="600" w:type="dxa"/>
            <w:vMerge w:val="restart"/>
            <w:tcBorders>
              <w:top w:val="single" w:sz="6" w:space="0" w:color="auto"/>
              <w:left w:val="single" w:sz="6" w:space="0" w:color="auto"/>
              <w:bottom w:val="single" w:sz="6" w:space="0" w:color="auto"/>
              <w:right w:val="single" w:sz="6" w:space="0" w:color="auto"/>
            </w:tcBorders>
            <w:hideMark/>
          </w:tcPr>
          <w:p w:rsidR="009B428B" w:rsidRPr="009B428B" w:rsidRDefault="009B428B" w:rsidP="009B428B">
            <w:r w:rsidRPr="009B428B">
              <w:t>E</w:t>
            </w:r>
          </w:p>
        </w:tc>
        <w:tc>
          <w:tcPr>
            <w:tcW w:w="3263" w:type="dxa"/>
            <w:vMerge w:val="restart"/>
            <w:tcBorders>
              <w:top w:val="single" w:sz="6" w:space="0" w:color="auto"/>
              <w:left w:val="single" w:sz="6" w:space="0" w:color="auto"/>
              <w:bottom w:val="single" w:sz="6" w:space="0" w:color="auto"/>
              <w:right w:val="single" w:sz="6" w:space="0" w:color="auto"/>
            </w:tcBorders>
            <w:hideMark/>
          </w:tcPr>
          <w:p w:rsidR="009B428B" w:rsidRPr="009B428B" w:rsidRDefault="009B428B" w:rsidP="009B428B">
            <w:r w:rsidRPr="009B428B">
              <w:t>Ūdeņu teritorija Ū</w:t>
            </w:r>
          </w:p>
        </w:tc>
        <w:tc>
          <w:tcPr>
            <w:tcW w:w="5239" w:type="dxa"/>
            <w:vMerge w:val="restart"/>
            <w:tcBorders>
              <w:top w:val="single" w:sz="6" w:space="0" w:color="auto"/>
              <w:left w:val="single" w:sz="6" w:space="0" w:color="auto"/>
              <w:bottom w:val="single" w:sz="6" w:space="0" w:color="auto"/>
              <w:right w:val="single" w:sz="6" w:space="0" w:color="auto"/>
            </w:tcBorders>
            <w:shd w:val="clear" w:color="auto" w:fill="CDEBFF"/>
            <w:hideMark/>
          </w:tcPr>
          <w:p w:rsidR="009B428B" w:rsidRPr="009B428B" w:rsidRDefault="009B428B" w:rsidP="009B428B">
            <w:r w:rsidRPr="009B428B">
              <w:rPr>
                <w:i/>
                <w:iCs/>
              </w:rPr>
              <w:t>Gaiši zils 1011200</w:t>
            </w:r>
            <w:r w:rsidRPr="009B428B">
              <w:rPr>
                <w:i/>
                <w:iCs/>
              </w:rPr>
              <w:br/>
            </w:r>
            <w:r w:rsidRPr="009B428B">
              <w:t>pildījums – RGB 205 235 255</w:t>
            </w:r>
            <w:r w:rsidRPr="009B428B">
              <w:br/>
              <w:t>kontūras – nav</w:t>
            </w:r>
          </w:p>
        </w:tc>
      </w:tr>
      <w:tr w:rsidR="009B428B" w:rsidRPr="009B428B" w:rsidTr="00F1740B">
        <w:trPr>
          <w:trHeight w:val="276"/>
          <w:tblCellSpacing w:w="15" w:type="dxa"/>
        </w:trPr>
        <w:tc>
          <w:tcPr>
            <w:tcW w:w="600"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3263"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c>
          <w:tcPr>
            <w:tcW w:w="5239" w:type="dxa"/>
            <w:vMerge/>
            <w:tcBorders>
              <w:top w:val="single" w:sz="6" w:space="0" w:color="auto"/>
              <w:left w:val="single" w:sz="6" w:space="0" w:color="auto"/>
              <w:bottom w:val="single" w:sz="6" w:space="0" w:color="auto"/>
              <w:right w:val="single" w:sz="6" w:space="0" w:color="auto"/>
            </w:tcBorders>
            <w:vAlign w:val="center"/>
            <w:hideMark/>
          </w:tcPr>
          <w:p w:rsidR="009B428B" w:rsidRPr="009B428B" w:rsidRDefault="009B428B" w:rsidP="009B428B"/>
        </w:tc>
      </w:tr>
    </w:tbl>
    <w:p w:rsidR="009B428B" w:rsidRPr="009B428B" w:rsidRDefault="009B428B" w:rsidP="009B428B"/>
    <w:p w:rsidR="009B428B" w:rsidRPr="009B428B" w:rsidRDefault="009B428B" w:rsidP="009B428B">
      <w:pPr>
        <w:numPr>
          <w:ilvl w:val="0"/>
          <w:numId w:val="6"/>
        </w:numPr>
        <w:autoSpaceDE w:val="0"/>
        <w:autoSpaceDN w:val="0"/>
        <w:adjustRightInd w:val="0"/>
        <w:spacing w:before="120" w:after="120"/>
        <w:ind w:left="426" w:hanging="426"/>
        <w:jc w:val="both"/>
        <w:rPr>
          <w:color w:val="000000"/>
        </w:rPr>
      </w:pPr>
      <w:r w:rsidRPr="009B428B">
        <w:t>Īpašuma „BUNDZE 1”</w:t>
      </w:r>
      <w:r w:rsidRPr="009B428B">
        <w:rPr>
          <w:color w:val="000000"/>
        </w:rPr>
        <w:t xml:space="preserve"> teritorijā ir pieļaujama meža zemes transformācija lauksaimniecības zemē, ievērojot normatīvajos aktos paredzēto kārtību.</w:t>
      </w:r>
    </w:p>
    <w:p w:rsidR="009B428B" w:rsidRPr="009B428B" w:rsidRDefault="009B428B" w:rsidP="009B428B">
      <w:pPr>
        <w:numPr>
          <w:ilvl w:val="0"/>
          <w:numId w:val="6"/>
        </w:numPr>
        <w:autoSpaceDE w:val="0"/>
        <w:autoSpaceDN w:val="0"/>
        <w:adjustRightInd w:val="0"/>
        <w:spacing w:before="120" w:after="120"/>
        <w:ind w:left="426" w:hanging="426"/>
        <w:jc w:val="both"/>
        <w:rPr>
          <w:color w:val="000000"/>
        </w:rPr>
      </w:pPr>
      <w:r w:rsidRPr="009B428B">
        <w:rPr>
          <w:color w:val="000000"/>
        </w:rPr>
        <w:lastRenderedPageBreak/>
        <w:t xml:space="preserve">Īpašuma „BUNDZE 1” teritorijā, paredzot apbūvi  no atļautajiem papildizmantošanas veidiem, kas noteikti  saskaņā ar Ministru kabineta 2013.gada 30.aprīļa noteikumiem Nr.240 Vispārīgie teritorijas plānošanas, izmantošanas un apbūves noteikumiem” – plānojot būvniecības ieceri, kuras realizācijai nepieciešama būvatļauja un būvprojekts, pirms būvprojekta sagatavošanas,  izņemot funkcionālās zonas galveno izmatošanu </w:t>
      </w:r>
      <w:r w:rsidRPr="009B428B">
        <w:rPr>
          <w:i/>
          <w:color w:val="000000"/>
        </w:rPr>
        <w:t>sk. Saistošo noteikumu A.2.punktu</w:t>
      </w:r>
      <w:r w:rsidRPr="009B428B">
        <w:rPr>
          <w:color w:val="000000"/>
        </w:rPr>
        <w:t xml:space="preserve"> , izstrādājams detālplānojums.</w:t>
      </w:r>
    </w:p>
    <w:p w:rsidR="009B428B" w:rsidRPr="009B428B" w:rsidRDefault="009B428B" w:rsidP="009B428B">
      <w:pPr>
        <w:numPr>
          <w:ilvl w:val="0"/>
          <w:numId w:val="6"/>
        </w:numPr>
        <w:autoSpaceDE w:val="0"/>
        <w:autoSpaceDN w:val="0"/>
        <w:adjustRightInd w:val="0"/>
        <w:spacing w:before="120" w:after="120"/>
        <w:ind w:left="426" w:hanging="426"/>
        <w:jc w:val="both"/>
        <w:rPr>
          <w:color w:val="000000"/>
        </w:rPr>
      </w:pPr>
      <w:r w:rsidRPr="009B428B">
        <w:t>Īpašuma „BUNDZE 1”</w:t>
      </w:r>
      <w:r w:rsidRPr="009B428B">
        <w:rPr>
          <w:color w:val="000000"/>
        </w:rPr>
        <w:t xml:space="preserve"> teritoriju sadalīšana veicama, izstrādājot zemes ierīcības projektu, ievērojot normatīvos aktos noteiktās minimālās zemes vienību platības un piekļūšanas nosacījumus. </w:t>
      </w:r>
    </w:p>
    <w:p w:rsidR="009B428B" w:rsidRPr="009B428B" w:rsidRDefault="009B428B" w:rsidP="009B428B">
      <w:pPr>
        <w:jc w:val="center"/>
        <w:rPr>
          <w:b/>
          <w:bCs/>
        </w:rPr>
      </w:pPr>
    </w:p>
    <w:p w:rsidR="00C90C81" w:rsidRPr="00C90C81" w:rsidRDefault="00C90C81" w:rsidP="00C90C81">
      <w:pPr>
        <w:jc w:val="center"/>
        <w:rPr>
          <w:b/>
          <w:bCs/>
        </w:rPr>
      </w:pPr>
    </w:p>
    <w:p w:rsidR="00C90C81" w:rsidRPr="00C90C81" w:rsidRDefault="00C90C81" w:rsidP="00C90C81">
      <w:pPr>
        <w:rPr>
          <w:sz w:val="20"/>
          <w:szCs w:val="20"/>
        </w:rPr>
      </w:pPr>
    </w:p>
    <w:p w:rsidR="00693A29" w:rsidRPr="00243F18" w:rsidRDefault="00693A29" w:rsidP="00693A29">
      <w:pPr>
        <w:spacing w:line="274" w:lineRule="exact"/>
        <w:rPr>
          <w:caps/>
        </w:rPr>
      </w:pPr>
    </w:p>
    <w:p w:rsidR="009204CA" w:rsidRPr="00243F18" w:rsidRDefault="009204CA" w:rsidP="00693A29">
      <w:pPr>
        <w:spacing w:line="274" w:lineRule="exact"/>
        <w:rPr>
          <w:caps/>
        </w:rPr>
      </w:pPr>
    </w:p>
    <w:p w:rsidR="009204CA" w:rsidRPr="00243F18" w:rsidRDefault="009204CA" w:rsidP="009204CA">
      <w:pPr>
        <w:jc w:val="both"/>
        <w:rPr>
          <w:b/>
          <w:caps/>
        </w:rPr>
      </w:pPr>
      <w:r w:rsidRPr="00243F18">
        <w:t>Domes priekšsēdētājs</w:t>
      </w:r>
      <w:r w:rsidRPr="00243F18">
        <w:tab/>
      </w:r>
      <w:r w:rsidRPr="00243F18">
        <w:tab/>
      </w:r>
      <w:r w:rsidRPr="00243F18">
        <w:tab/>
      </w:r>
      <w:r w:rsidRPr="00243F18">
        <w:tab/>
      </w:r>
      <w:r w:rsidRPr="00243F18">
        <w:tab/>
      </w:r>
      <w:r w:rsidRPr="00243F18">
        <w:tab/>
      </w:r>
      <w:r w:rsidRPr="00243F18">
        <w:tab/>
      </w:r>
      <w:r w:rsidRPr="00243F18">
        <w:tab/>
        <w:t>A.Zālītis</w:t>
      </w:r>
    </w:p>
    <w:p w:rsidR="007667CC" w:rsidRPr="00243F18" w:rsidRDefault="007667CC" w:rsidP="00693A29">
      <w:pPr>
        <w:spacing w:line="274" w:lineRule="exact"/>
        <w:rPr>
          <w:caps/>
        </w:rPr>
      </w:pPr>
    </w:p>
    <w:p w:rsidR="007F1A2F" w:rsidRPr="00243F18" w:rsidRDefault="007F1A2F">
      <w:pPr>
        <w:spacing w:after="200" w:line="276" w:lineRule="auto"/>
        <w:rPr>
          <w:rFonts w:eastAsiaTheme="minorHAnsi"/>
          <w:color w:val="000000"/>
          <w:sz w:val="20"/>
          <w:szCs w:val="20"/>
          <w:lang w:eastAsia="en-US"/>
        </w:rPr>
      </w:pPr>
    </w:p>
    <w:sectPr w:rsidR="007F1A2F" w:rsidRPr="00243F18" w:rsidSect="007667CC">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B5" w:rsidRDefault="00D36EB5" w:rsidP="007667CC">
      <w:r>
        <w:separator/>
      </w:r>
    </w:p>
  </w:endnote>
  <w:endnote w:type="continuationSeparator" w:id="0">
    <w:p w:rsidR="00D36EB5" w:rsidRDefault="00D36EB5" w:rsidP="0076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71057"/>
      <w:docPartObj>
        <w:docPartGallery w:val="Page Numbers (Bottom of Page)"/>
        <w:docPartUnique/>
      </w:docPartObj>
    </w:sdtPr>
    <w:sdtEndPr>
      <w:rPr>
        <w:noProof/>
      </w:rPr>
    </w:sdtEndPr>
    <w:sdtContent>
      <w:p w:rsidR="007667CC" w:rsidRDefault="007667CC">
        <w:pPr>
          <w:pStyle w:val="Kjene"/>
          <w:jc w:val="center"/>
        </w:pPr>
        <w:r>
          <w:fldChar w:fldCharType="begin"/>
        </w:r>
        <w:r>
          <w:instrText xml:space="preserve"> PAGE   \* MERGEFORMAT </w:instrText>
        </w:r>
        <w:r>
          <w:fldChar w:fldCharType="separate"/>
        </w:r>
        <w:r w:rsidR="00895173">
          <w:rPr>
            <w:noProof/>
          </w:rPr>
          <w:t>6</w:t>
        </w:r>
        <w:r>
          <w:rPr>
            <w:noProof/>
          </w:rPr>
          <w:fldChar w:fldCharType="end"/>
        </w:r>
      </w:p>
    </w:sdtContent>
  </w:sdt>
  <w:p w:rsidR="007667CC" w:rsidRDefault="007667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B5" w:rsidRDefault="00D36EB5" w:rsidP="007667CC">
      <w:r>
        <w:separator/>
      </w:r>
    </w:p>
  </w:footnote>
  <w:footnote w:type="continuationSeparator" w:id="0">
    <w:p w:rsidR="00D36EB5" w:rsidRDefault="00D36EB5" w:rsidP="007667CC">
      <w:r>
        <w:continuationSeparator/>
      </w:r>
    </w:p>
  </w:footnote>
  <w:footnote w:id="1">
    <w:p w:rsidR="009B428B" w:rsidRDefault="009B428B" w:rsidP="009B428B">
      <w:pPr>
        <w:pStyle w:val="Vresteksts"/>
      </w:pPr>
      <w:r>
        <w:rPr>
          <w:rStyle w:val="Vresatsauce"/>
        </w:rPr>
        <w:footnoteRef/>
      </w:r>
      <w:r>
        <w:t xml:space="preserve"> </w:t>
      </w:r>
      <w:r>
        <w:rPr>
          <w:rFonts w:ascii="Arial" w:hAnsi="Arial" w:cs="Arial"/>
        </w:rPr>
        <w:t>MKN Nr. 240, 4.12. apakšnodaļa 54. – 56 .panti.</w:t>
      </w:r>
    </w:p>
  </w:footnote>
  <w:footnote w:id="2">
    <w:p w:rsidR="009B428B" w:rsidRPr="003C63F4" w:rsidRDefault="009B428B" w:rsidP="009B428B">
      <w:pPr>
        <w:pStyle w:val="Vresteksts"/>
        <w:rPr>
          <w:rFonts w:ascii="Arial" w:hAnsi="Arial" w:cs="Arial"/>
          <w:sz w:val="18"/>
          <w:szCs w:val="18"/>
        </w:rPr>
      </w:pPr>
      <w:r>
        <w:rPr>
          <w:rStyle w:val="Vresatsauce"/>
        </w:rPr>
        <w:footnoteRef/>
      </w:r>
      <w:r>
        <w:t xml:space="preserve"> </w:t>
      </w:r>
      <w:r w:rsidRPr="00FC2B7C">
        <w:rPr>
          <w:rFonts w:ascii="Arial" w:hAnsi="Arial" w:cs="Arial"/>
        </w:rPr>
        <w:t>MKN Nr.</w:t>
      </w:r>
      <w:r>
        <w:rPr>
          <w:rFonts w:ascii="Arial" w:hAnsi="Arial" w:cs="Arial"/>
        </w:rPr>
        <w:t xml:space="preserve"> </w:t>
      </w:r>
      <w:r w:rsidRPr="003C63F4">
        <w:rPr>
          <w:rFonts w:ascii="Arial" w:hAnsi="Arial" w:cs="Arial"/>
          <w:sz w:val="18"/>
          <w:szCs w:val="18"/>
        </w:rPr>
        <w:t xml:space="preserve">240 Teritorijas izmantošanas veida </w:t>
      </w:r>
      <w:r>
        <w:rPr>
          <w:rFonts w:ascii="Arial" w:hAnsi="Arial" w:cs="Arial"/>
          <w:sz w:val="18"/>
          <w:szCs w:val="18"/>
        </w:rPr>
        <w:t>g</w:t>
      </w:r>
      <w:r w:rsidRPr="003C63F4">
        <w:rPr>
          <w:rFonts w:ascii="Arial" w:hAnsi="Arial" w:cs="Arial"/>
          <w:sz w:val="18"/>
          <w:szCs w:val="18"/>
        </w:rPr>
        <w:t>rupas kods</w:t>
      </w:r>
    </w:p>
  </w:footnote>
  <w:footnote w:id="3">
    <w:p w:rsidR="009B428B" w:rsidRDefault="009B428B" w:rsidP="009B428B">
      <w:pPr>
        <w:pStyle w:val="Vresteksts"/>
      </w:pPr>
      <w:r>
        <w:rPr>
          <w:rStyle w:val="Vresatsauce"/>
        </w:rPr>
        <w:footnoteRef/>
      </w:r>
      <w:r>
        <w:t xml:space="preserve"> </w:t>
      </w:r>
      <w:r w:rsidRPr="003C63F4">
        <w:rPr>
          <w:rFonts w:ascii="Arial" w:hAnsi="Arial" w:cs="Arial"/>
          <w:sz w:val="18"/>
          <w:szCs w:val="18"/>
        </w:rPr>
        <w:t>MKN Nr. 240, 4.</w:t>
      </w:r>
      <w:r>
        <w:rPr>
          <w:rFonts w:ascii="Arial" w:hAnsi="Arial" w:cs="Arial"/>
          <w:sz w:val="18"/>
          <w:szCs w:val="18"/>
        </w:rPr>
        <w:t>11</w:t>
      </w:r>
      <w:r w:rsidRPr="003C63F4">
        <w:rPr>
          <w:rFonts w:ascii="Arial" w:hAnsi="Arial" w:cs="Arial"/>
          <w:sz w:val="18"/>
          <w:szCs w:val="18"/>
        </w:rPr>
        <w:t xml:space="preserve">. apakšnodaļas  </w:t>
      </w:r>
      <w:r>
        <w:rPr>
          <w:rFonts w:ascii="Arial" w:hAnsi="Arial" w:cs="Arial"/>
          <w:sz w:val="18"/>
          <w:szCs w:val="18"/>
        </w:rPr>
        <w:t>51.</w:t>
      </w:r>
      <w:r w:rsidRPr="003C63F4">
        <w:rPr>
          <w:rFonts w:ascii="Arial" w:hAnsi="Arial" w:cs="Arial"/>
          <w:sz w:val="18"/>
          <w:szCs w:val="18"/>
        </w:rPr>
        <w:t xml:space="preserve"> -  </w:t>
      </w:r>
      <w:r>
        <w:rPr>
          <w:rFonts w:ascii="Arial" w:hAnsi="Arial" w:cs="Arial"/>
          <w:sz w:val="18"/>
          <w:szCs w:val="18"/>
        </w:rPr>
        <w:t>53</w:t>
      </w:r>
      <w:r w:rsidRPr="003C63F4">
        <w:rPr>
          <w:rFonts w:ascii="Arial" w:hAnsi="Arial" w:cs="Arial"/>
          <w:sz w:val="18"/>
          <w:szCs w:val="18"/>
        </w:rPr>
        <w:t>. punkti</w:t>
      </w:r>
    </w:p>
  </w:footnote>
  <w:footnote w:id="4">
    <w:p w:rsidR="009B428B" w:rsidRDefault="009B428B" w:rsidP="009B428B">
      <w:pPr>
        <w:pStyle w:val="Vresteksts"/>
      </w:pPr>
      <w:r>
        <w:rPr>
          <w:rStyle w:val="Vresatsauce"/>
        </w:rPr>
        <w:footnoteRef/>
      </w:r>
      <w:r>
        <w:t xml:space="preserve"> </w:t>
      </w:r>
      <w:r w:rsidRPr="003C63F4">
        <w:rPr>
          <w:rFonts w:ascii="Arial" w:hAnsi="Arial" w:cs="Arial"/>
          <w:sz w:val="18"/>
          <w:szCs w:val="18"/>
        </w:rPr>
        <w:t>MKN Nr. 240, 4.</w:t>
      </w:r>
      <w:r>
        <w:rPr>
          <w:rFonts w:ascii="Arial" w:hAnsi="Arial" w:cs="Arial"/>
          <w:sz w:val="18"/>
          <w:szCs w:val="18"/>
        </w:rPr>
        <w:t>13</w:t>
      </w:r>
      <w:r w:rsidRPr="003C63F4">
        <w:rPr>
          <w:rFonts w:ascii="Arial" w:hAnsi="Arial" w:cs="Arial"/>
          <w:sz w:val="18"/>
          <w:szCs w:val="18"/>
        </w:rPr>
        <w:t xml:space="preserve">. apakšnodaļas  </w:t>
      </w:r>
      <w:r>
        <w:rPr>
          <w:rFonts w:ascii="Arial" w:hAnsi="Arial" w:cs="Arial"/>
          <w:sz w:val="18"/>
          <w:szCs w:val="18"/>
        </w:rPr>
        <w:t>57.</w:t>
      </w:r>
      <w:r w:rsidRPr="003C63F4">
        <w:rPr>
          <w:rFonts w:ascii="Arial" w:hAnsi="Arial" w:cs="Arial"/>
          <w:sz w:val="18"/>
          <w:szCs w:val="18"/>
        </w:rPr>
        <w:t xml:space="preserve"> -  </w:t>
      </w:r>
      <w:r>
        <w:rPr>
          <w:rFonts w:ascii="Arial" w:hAnsi="Arial" w:cs="Arial"/>
          <w:sz w:val="18"/>
          <w:szCs w:val="18"/>
        </w:rPr>
        <w:t>59.</w:t>
      </w:r>
      <w:r w:rsidRPr="003C63F4">
        <w:rPr>
          <w:rFonts w:ascii="Arial" w:hAnsi="Arial" w:cs="Arial"/>
          <w:sz w:val="18"/>
          <w:szCs w:val="18"/>
        </w:rPr>
        <w:t xml:space="preserve"> punkti</w:t>
      </w:r>
    </w:p>
  </w:footnote>
  <w:footnote w:id="5">
    <w:p w:rsidR="009B428B" w:rsidRDefault="009B428B" w:rsidP="009B428B">
      <w:pPr>
        <w:pStyle w:val="Vresteksts"/>
      </w:pPr>
      <w:r>
        <w:rPr>
          <w:rStyle w:val="Vresatsauce"/>
        </w:rPr>
        <w:footnoteRef/>
      </w:r>
      <w:r>
        <w:t xml:space="preserve"> </w:t>
      </w:r>
      <w:r w:rsidRPr="003C63F4">
        <w:rPr>
          <w:rFonts w:ascii="Arial" w:hAnsi="Arial" w:cs="Arial"/>
          <w:sz w:val="18"/>
          <w:szCs w:val="18"/>
        </w:rPr>
        <w:t>MKN Nr. 240, 4.8. apakšnodaļas</w:t>
      </w:r>
      <w:r>
        <w:rPr>
          <w:rFonts w:ascii="Arial" w:hAnsi="Arial" w:cs="Arial"/>
          <w:sz w:val="18"/>
          <w:szCs w:val="18"/>
        </w:rPr>
        <w:t xml:space="preserve"> </w:t>
      </w:r>
      <w:r w:rsidRPr="003C63F4">
        <w:rPr>
          <w:rFonts w:ascii="Arial" w:hAnsi="Arial" w:cs="Arial"/>
          <w:sz w:val="18"/>
          <w:szCs w:val="18"/>
        </w:rPr>
        <w:t xml:space="preserve">42. - 44. </w:t>
      </w:r>
      <w:r>
        <w:rPr>
          <w:rFonts w:ascii="Arial" w:hAnsi="Arial" w:cs="Arial"/>
          <w:sz w:val="18"/>
          <w:szCs w:val="18"/>
        </w:rPr>
        <w:t>p</w:t>
      </w:r>
      <w:r w:rsidRPr="003C63F4">
        <w:rPr>
          <w:rFonts w:ascii="Arial" w:hAnsi="Arial" w:cs="Arial"/>
          <w:sz w:val="18"/>
          <w:szCs w:val="18"/>
        </w:rPr>
        <w:t>unkt</w:t>
      </w:r>
      <w:r>
        <w:rPr>
          <w:rFonts w:ascii="Arial" w:hAnsi="Arial" w:cs="Arial"/>
          <w:sz w:val="18"/>
          <w:szCs w:val="18"/>
        </w:rPr>
        <w:t>s.</w:t>
      </w:r>
      <w:r>
        <w:rPr>
          <w:rFonts w:ascii="Arial" w:hAnsi="Arial" w:cs="Arial"/>
        </w:rPr>
        <w:t xml:space="preserve"> </w:t>
      </w:r>
    </w:p>
  </w:footnote>
  <w:footnote w:id="6">
    <w:p w:rsidR="009B428B" w:rsidRPr="00B23730" w:rsidRDefault="009B428B" w:rsidP="009B428B">
      <w:r>
        <w:rPr>
          <w:rStyle w:val="Vresatsauce"/>
        </w:rPr>
        <w:footnoteRef/>
      </w:r>
      <w:r>
        <w:t xml:space="preserve"> </w:t>
      </w:r>
      <w:r>
        <w:rPr>
          <w:rFonts w:ascii="Arial" w:hAnsi="Arial" w:cs="Arial"/>
          <w:sz w:val="18"/>
          <w:szCs w:val="18"/>
        </w:rPr>
        <w:t>MKN</w:t>
      </w:r>
      <w:r w:rsidRPr="00B23730">
        <w:rPr>
          <w:rFonts w:ascii="Arial" w:hAnsi="Arial" w:cs="Arial"/>
          <w:sz w:val="18"/>
          <w:szCs w:val="18"/>
        </w:rPr>
        <w:t xml:space="preserve"> Nr.240 1.</w:t>
      </w:r>
      <w:r>
        <w:rPr>
          <w:rFonts w:ascii="Arial" w:hAnsi="Arial" w:cs="Arial"/>
          <w:sz w:val="18"/>
          <w:szCs w:val="18"/>
        </w:rPr>
        <w:t>P</w:t>
      </w:r>
      <w:r w:rsidRPr="00B23730">
        <w:rPr>
          <w:rFonts w:ascii="Arial" w:hAnsi="Arial" w:cs="Arial"/>
          <w:sz w:val="18"/>
          <w:szCs w:val="18"/>
        </w:rPr>
        <w:t>ielikum</w:t>
      </w:r>
      <w:r>
        <w:rPr>
          <w:rFonts w:ascii="Arial" w:hAnsi="Arial" w:cs="Arial"/>
          <w:sz w:val="18"/>
          <w:szCs w:val="18"/>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F666AB"/>
    <w:multiLevelType w:val="hybridMultilevel"/>
    <w:tmpl w:val="517B1C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A14FC"/>
    <w:multiLevelType w:val="hybridMultilevel"/>
    <w:tmpl w:val="AEEC11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0B37782"/>
    <w:multiLevelType w:val="hybridMultilevel"/>
    <w:tmpl w:val="4898704A"/>
    <w:lvl w:ilvl="0" w:tplc="FFD8CD36">
      <w:start w:val="6"/>
      <w:numFmt w:val="upp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68217C17"/>
    <w:multiLevelType w:val="hybridMultilevel"/>
    <w:tmpl w:val="A1720D82"/>
    <w:lvl w:ilvl="0" w:tplc="09BA6156">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9"/>
    <w:rsid w:val="000A364D"/>
    <w:rsid w:val="000A565C"/>
    <w:rsid w:val="00196EC1"/>
    <w:rsid w:val="001B29BF"/>
    <w:rsid w:val="001C4F68"/>
    <w:rsid w:val="00213252"/>
    <w:rsid w:val="00225D5D"/>
    <w:rsid w:val="00243F18"/>
    <w:rsid w:val="00246D72"/>
    <w:rsid w:val="002A6598"/>
    <w:rsid w:val="00331E39"/>
    <w:rsid w:val="00341149"/>
    <w:rsid w:val="00400921"/>
    <w:rsid w:val="0041464A"/>
    <w:rsid w:val="00436E79"/>
    <w:rsid w:val="00462770"/>
    <w:rsid w:val="00495551"/>
    <w:rsid w:val="00520EEF"/>
    <w:rsid w:val="00521068"/>
    <w:rsid w:val="00551B87"/>
    <w:rsid w:val="0058334C"/>
    <w:rsid w:val="0059344D"/>
    <w:rsid w:val="005E552C"/>
    <w:rsid w:val="0061371F"/>
    <w:rsid w:val="00693A29"/>
    <w:rsid w:val="00714D22"/>
    <w:rsid w:val="00736D43"/>
    <w:rsid w:val="007667CC"/>
    <w:rsid w:val="00791C44"/>
    <w:rsid w:val="007F1A2F"/>
    <w:rsid w:val="00822D3D"/>
    <w:rsid w:val="00895173"/>
    <w:rsid w:val="009204CA"/>
    <w:rsid w:val="00947F19"/>
    <w:rsid w:val="00951C67"/>
    <w:rsid w:val="00994D72"/>
    <w:rsid w:val="009B428B"/>
    <w:rsid w:val="00A904C4"/>
    <w:rsid w:val="00AB7EE9"/>
    <w:rsid w:val="00AC4088"/>
    <w:rsid w:val="00BB0E59"/>
    <w:rsid w:val="00BD78EC"/>
    <w:rsid w:val="00C44C9F"/>
    <w:rsid w:val="00C90C81"/>
    <w:rsid w:val="00CB1AE9"/>
    <w:rsid w:val="00D258D4"/>
    <w:rsid w:val="00D36EB5"/>
    <w:rsid w:val="00D71BE5"/>
    <w:rsid w:val="00DF00C6"/>
    <w:rsid w:val="00DF620B"/>
    <w:rsid w:val="00E1382D"/>
    <w:rsid w:val="00E36379"/>
    <w:rsid w:val="00EB202B"/>
    <w:rsid w:val="00EC5B42"/>
    <w:rsid w:val="00FB4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911ABD6-26F0-4C75-8E8C-F535C0D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3A2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693A29"/>
    <w:rPr>
      <w:color w:val="0000FF"/>
      <w:u w:val="single"/>
    </w:rPr>
  </w:style>
  <w:style w:type="paragraph" w:customStyle="1" w:styleId="Default">
    <w:name w:val="Default"/>
    <w:rsid w:val="00693A29"/>
    <w:pPr>
      <w:autoSpaceDE w:val="0"/>
      <w:autoSpaceDN w:val="0"/>
      <w:adjustRightInd w:val="0"/>
      <w:spacing w:after="0" w:line="240" w:lineRule="auto"/>
    </w:pPr>
    <w:rPr>
      <w:rFonts w:ascii="Times New Roman" w:eastAsia="Times New Roman" w:hAnsi="Times New Roman" w:cs="Times New Roman"/>
      <w:color w:val="000000"/>
      <w:sz w:val="24"/>
      <w:szCs w:val="24"/>
      <w:lang w:eastAsia="zh-CN" w:bidi="lo-LA"/>
    </w:rPr>
  </w:style>
  <w:style w:type="paragraph" w:customStyle="1" w:styleId="tv213">
    <w:name w:val="tv213"/>
    <w:basedOn w:val="Parasts"/>
    <w:rsid w:val="00693A29"/>
    <w:pPr>
      <w:spacing w:before="100" w:beforeAutospacing="1" w:after="100" w:afterAutospacing="1"/>
    </w:pPr>
  </w:style>
  <w:style w:type="character" w:styleId="Izmantotahipersaite">
    <w:name w:val="FollowedHyperlink"/>
    <w:basedOn w:val="Noklusjumarindkopasfonts"/>
    <w:uiPriority w:val="99"/>
    <w:semiHidden/>
    <w:unhideWhenUsed/>
    <w:rsid w:val="00947F19"/>
    <w:rPr>
      <w:color w:val="800080" w:themeColor="followedHyperlink"/>
      <w:u w:val="single"/>
    </w:rPr>
  </w:style>
  <w:style w:type="paragraph" w:styleId="Galvene">
    <w:name w:val="header"/>
    <w:basedOn w:val="Parasts"/>
    <w:link w:val="GalveneRakstz"/>
    <w:uiPriority w:val="99"/>
    <w:unhideWhenUsed/>
    <w:rsid w:val="007667CC"/>
    <w:pPr>
      <w:tabs>
        <w:tab w:val="center" w:pos="4153"/>
        <w:tab w:val="right" w:pos="8306"/>
      </w:tabs>
    </w:pPr>
  </w:style>
  <w:style w:type="character" w:customStyle="1" w:styleId="GalveneRakstz">
    <w:name w:val="Galvene Rakstz."/>
    <w:basedOn w:val="Noklusjumarindkopasfonts"/>
    <w:link w:val="Galvene"/>
    <w:uiPriority w:val="99"/>
    <w:rsid w:val="007667C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667CC"/>
    <w:pPr>
      <w:tabs>
        <w:tab w:val="center" w:pos="4153"/>
        <w:tab w:val="right" w:pos="8306"/>
      </w:tabs>
    </w:pPr>
  </w:style>
  <w:style w:type="character" w:customStyle="1" w:styleId="KjeneRakstz">
    <w:name w:val="Kājene Rakstz."/>
    <w:basedOn w:val="Noklusjumarindkopasfonts"/>
    <w:link w:val="Kjene"/>
    <w:uiPriority w:val="99"/>
    <w:rsid w:val="007667CC"/>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F1A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1A2F"/>
    <w:rPr>
      <w:rFonts w:ascii="Tahoma" w:eastAsia="Times New Roman" w:hAnsi="Tahoma" w:cs="Tahoma"/>
      <w:sz w:val="16"/>
      <w:szCs w:val="16"/>
      <w:lang w:eastAsia="lv-LV"/>
    </w:rPr>
  </w:style>
  <w:style w:type="paragraph" w:styleId="Paraststmeklis">
    <w:name w:val="Normal (Web)"/>
    <w:basedOn w:val="Parasts"/>
    <w:unhideWhenUsed/>
    <w:rsid w:val="007F1A2F"/>
    <w:pPr>
      <w:spacing w:before="100" w:beforeAutospacing="1" w:after="100" w:afterAutospacing="1"/>
    </w:pPr>
  </w:style>
  <w:style w:type="paragraph" w:customStyle="1" w:styleId="RakstzRakstzCharCharRakstzRakstzCharCharRakstzRakstzCharCharRakstzRakstz">
    <w:name w:val="Rakstz. Rakstz. Char Char Rakstz. Rakstz. Char Char Rakstz. Rakstz. Char Char Rakstz. Rakstz."/>
    <w:basedOn w:val="Parasts"/>
    <w:rsid w:val="00A904C4"/>
    <w:pPr>
      <w:spacing w:after="160" w:line="240" w:lineRule="exact"/>
    </w:pPr>
    <w:rPr>
      <w:rFonts w:ascii="Tahoma" w:hAnsi="Tahoma"/>
      <w:sz w:val="20"/>
      <w:szCs w:val="20"/>
      <w:lang w:val="en-US" w:eastAsia="en-US"/>
    </w:rPr>
  </w:style>
  <w:style w:type="paragraph" w:styleId="Vresteksts">
    <w:name w:val="footnote text"/>
    <w:basedOn w:val="Parasts"/>
    <w:link w:val="VrestekstsRakstz"/>
    <w:semiHidden/>
    <w:unhideWhenUsed/>
    <w:rsid w:val="00C90C81"/>
    <w:rPr>
      <w:sz w:val="20"/>
      <w:szCs w:val="20"/>
    </w:rPr>
  </w:style>
  <w:style w:type="character" w:customStyle="1" w:styleId="VrestekstsRakstz">
    <w:name w:val="Vēres teksts Rakstz."/>
    <w:basedOn w:val="Noklusjumarindkopasfonts"/>
    <w:link w:val="Vresteksts"/>
    <w:semiHidden/>
    <w:rsid w:val="00C90C81"/>
    <w:rPr>
      <w:rFonts w:ascii="Times New Roman" w:eastAsia="Times New Roman" w:hAnsi="Times New Roman" w:cs="Times New Roman"/>
      <w:sz w:val="20"/>
      <w:szCs w:val="20"/>
      <w:lang w:eastAsia="lv-LV"/>
    </w:rPr>
  </w:style>
  <w:style w:type="character" w:styleId="Vresatsauce">
    <w:name w:val="footnote reference"/>
    <w:unhideWhenUsed/>
    <w:rsid w:val="00C90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1741">
      <w:bodyDiv w:val="1"/>
      <w:marLeft w:val="0"/>
      <w:marRight w:val="0"/>
      <w:marTop w:val="0"/>
      <w:marBottom w:val="0"/>
      <w:divBdr>
        <w:top w:val="none" w:sz="0" w:space="0" w:color="auto"/>
        <w:left w:val="none" w:sz="0" w:space="0" w:color="auto"/>
        <w:bottom w:val="none" w:sz="0" w:space="0" w:color="auto"/>
        <w:right w:val="none" w:sz="0" w:space="0" w:color="auto"/>
      </w:divBdr>
    </w:div>
    <w:div w:id="1797478855">
      <w:bodyDiv w:val="1"/>
      <w:marLeft w:val="0"/>
      <w:marRight w:val="0"/>
      <w:marTop w:val="0"/>
      <w:marBottom w:val="0"/>
      <w:divBdr>
        <w:top w:val="none" w:sz="0" w:space="0" w:color="auto"/>
        <w:left w:val="none" w:sz="0" w:space="0" w:color="auto"/>
        <w:bottom w:val="none" w:sz="0" w:space="0" w:color="auto"/>
        <w:right w:val="none" w:sz="0" w:space="0" w:color="auto"/>
      </w:divBdr>
    </w:div>
    <w:div w:id="19008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river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0D53-04B1-4B11-A510-2A1DC85E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6598</Words>
  <Characters>3761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Arvis Upīts</cp:lastModifiedBy>
  <cp:revision>2</cp:revision>
  <cp:lastPrinted>2016-02-24T12:30:00Z</cp:lastPrinted>
  <dcterms:created xsi:type="dcterms:W3CDTF">2016-03-15T15:08:00Z</dcterms:created>
  <dcterms:modified xsi:type="dcterms:W3CDTF">2016-03-15T15:08:00Z</dcterms:modified>
</cp:coreProperties>
</file>